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9B67A9" w:rsidRPr="00713F10" w14:paraId="185254FD" w14:textId="77777777" w:rsidTr="004D46C8">
        <w:tc>
          <w:tcPr>
            <w:tcW w:w="10349" w:type="dxa"/>
            <w:shd w:val="clear" w:color="auto" w:fill="F2F2F2" w:themeFill="background1" w:themeFillShade="F2"/>
          </w:tcPr>
          <w:p w14:paraId="068BE99C" w14:textId="77777777" w:rsidR="007B7B8A" w:rsidRPr="00E72F5F" w:rsidRDefault="009B67A9" w:rsidP="008A16C2">
            <w:pPr>
              <w:tabs>
                <w:tab w:val="left" w:pos="-1200"/>
                <w:tab w:val="left" w:pos="-720"/>
                <w:tab w:val="left" w:pos="1"/>
              </w:tabs>
              <w:rPr>
                <w:rFonts w:asciiTheme="minorHAnsi" w:hAnsiTheme="minorHAnsi" w:cstheme="minorHAnsi"/>
                <w:i/>
                <w:sz w:val="22"/>
                <w:szCs w:val="22"/>
              </w:rPr>
            </w:pPr>
            <w:bookmarkStart w:id="0" w:name="_GoBack"/>
            <w:bookmarkEnd w:id="0"/>
            <w:r w:rsidRPr="00E72F5F">
              <w:rPr>
                <w:rFonts w:asciiTheme="minorHAnsi" w:hAnsiTheme="minorHAnsi" w:cstheme="minorHAnsi"/>
                <w:i/>
                <w:sz w:val="22"/>
                <w:szCs w:val="22"/>
              </w:rPr>
              <w:t>Eastern Palliative Care</w:t>
            </w:r>
            <w:r w:rsidR="00C42A7F" w:rsidRPr="00E72F5F">
              <w:rPr>
                <w:rFonts w:asciiTheme="minorHAnsi" w:hAnsiTheme="minorHAnsi" w:cstheme="minorHAnsi"/>
                <w:i/>
                <w:sz w:val="22"/>
                <w:szCs w:val="22"/>
              </w:rPr>
              <w:t xml:space="preserve"> Assoc. Inc. (EPC)</w:t>
            </w:r>
            <w:r w:rsidRPr="00E72F5F">
              <w:rPr>
                <w:rFonts w:asciiTheme="minorHAnsi" w:hAnsiTheme="minorHAnsi" w:cstheme="minorHAnsi"/>
                <w:i/>
                <w:sz w:val="22"/>
                <w:szCs w:val="22"/>
              </w:rPr>
              <w:t xml:space="preserve"> delivers home-based care services to the eastern region of the Greater Melbourne area.</w:t>
            </w:r>
            <w:r w:rsidR="007B7B8A" w:rsidRPr="00E72F5F">
              <w:rPr>
                <w:rFonts w:asciiTheme="minorHAnsi" w:hAnsiTheme="minorHAnsi" w:cstheme="minorHAnsi"/>
                <w:i/>
                <w:sz w:val="22"/>
                <w:szCs w:val="22"/>
              </w:rPr>
              <w:t xml:space="preserve"> </w:t>
            </w:r>
          </w:p>
          <w:p w14:paraId="408DBB2C" w14:textId="77777777" w:rsidR="009B67A9" w:rsidRPr="00E72F5F" w:rsidRDefault="007B7B8A" w:rsidP="00C42A7F">
            <w:pPr>
              <w:tabs>
                <w:tab w:val="left" w:pos="-1200"/>
                <w:tab w:val="left" w:pos="-720"/>
                <w:tab w:val="left" w:pos="1"/>
              </w:tabs>
              <w:rPr>
                <w:rFonts w:asciiTheme="minorHAnsi" w:hAnsiTheme="minorHAnsi" w:cstheme="minorHAnsi"/>
                <w:i/>
                <w:sz w:val="22"/>
                <w:szCs w:val="22"/>
              </w:rPr>
            </w:pPr>
            <w:r w:rsidRPr="00E72F5F">
              <w:rPr>
                <w:rFonts w:asciiTheme="minorHAnsi" w:hAnsiTheme="minorHAnsi" w:cstheme="minorHAnsi"/>
                <w:i/>
                <w:sz w:val="22"/>
                <w:szCs w:val="22"/>
              </w:rPr>
              <w:t>All staff and volunteers of E</w:t>
            </w:r>
            <w:r w:rsidR="00C42A7F" w:rsidRPr="00E72F5F">
              <w:rPr>
                <w:rFonts w:asciiTheme="minorHAnsi" w:hAnsiTheme="minorHAnsi" w:cstheme="minorHAnsi"/>
                <w:i/>
                <w:sz w:val="22"/>
                <w:szCs w:val="22"/>
              </w:rPr>
              <w:t>PC</w:t>
            </w:r>
            <w:r w:rsidRPr="00E72F5F">
              <w:rPr>
                <w:rFonts w:asciiTheme="minorHAnsi" w:hAnsiTheme="minorHAnsi" w:cstheme="minorHAnsi"/>
                <w:i/>
                <w:sz w:val="22"/>
                <w:szCs w:val="22"/>
              </w:rPr>
              <w:t xml:space="preserve"> must demonstrate a commitment to our Code of Ethics, Code of Conduct and a willingness to work within the organisational Vision, Mission and Values.</w:t>
            </w:r>
          </w:p>
        </w:tc>
      </w:tr>
      <w:tr w:rsidR="009B67A9" w:rsidRPr="00713F10" w14:paraId="0CF5FED2" w14:textId="77777777" w:rsidTr="004D46C8">
        <w:tc>
          <w:tcPr>
            <w:tcW w:w="10349" w:type="dxa"/>
            <w:shd w:val="clear" w:color="auto" w:fill="F2F2F2" w:themeFill="background1" w:themeFillShade="F2"/>
          </w:tcPr>
          <w:p w14:paraId="299324C2" w14:textId="77777777" w:rsidR="009B67A9" w:rsidRPr="00E72F5F" w:rsidRDefault="009B67A9" w:rsidP="00C42A7F">
            <w:pPr>
              <w:jc w:val="both"/>
              <w:rPr>
                <w:rFonts w:asciiTheme="minorHAnsi" w:hAnsiTheme="minorHAnsi" w:cstheme="minorHAnsi"/>
                <w:i/>
                <w:sz w:val="22"/>
                <w:szCs w:val="22"/>
              </w:rPr>
            </w:pPr>
            <w:r w:rsidRPr="00E72F5F">
              <w:rPr>
                <w:rFonts w:asciiTheme="minorHAnsi" w:hAnsiTheme="minorHAnsi" w:cstheme="minorHAnsi"/>
                <w:b/>
                <w:i/>
                <w:sz w:val="22"/>
                <w:szCs w:val="22"/>
              </w:rPr>
              <w:t>Our Mission:</w:t>
            </w:r>
            <w:r w:rsidRPr="00E72F5F">
              <w:rPr>
                <w:rFonts w:asciiTheme="minorHAnsi" w:hAnsiTheme="minorHAnsi" w:cstheme="minorHAnsi"/>
                <w:i/>
                <w:sz w:val="22"/>
                <w:szCs w:val="22"/>
              </w:rPr>
              <w:t xml:space="preserve">  </w:t>
            </w:r>
            <w:r w:rsidR="00D3285B" w:rsidRPr="00E72F5F">
              <w:rPr>
                <w:rFonts w:asciiTheme="minorHAnsi" w:hAnsiTheme="minorHAnsi" w:cstheme="minorHAnsi"/>
                <w:i/>
                <w:sz w:val="22"/>
                <w:szCs w:val="22"/>
              </w:rPr>
              <w:t>E</w:t>
            </w:r>
            <w:r w:rsidR="00C42A7F" w:rsidRPr="00E72F5F">
              <w:rPr>
                <w:rFonts w:asciiTheme="minorHAnsi" w:hAnsiTheme="minorHAnsi" w:cstheme="minorHAnsi"/>
                <w:i/>
                <w:sz w:val="22"/>
                <w:szCs w:val="22"/>
              </w:rPr>
              <w:t>PC</w:t>
            </w:r>
            <w:r w:rsidR="00D3285B" w:rsidRPr="00E72F5F">
              <w:rPr>
                <w:rFonts w:asciiTheme="minorHAnsi" w:hAnsiTheme="minorHAnsi" w:cstheme="minorHAnsi"/>
                <w:i/>
                <w:sz w:val="22"/>
                <w:szCs w:val="22"/>
              </w:rPr>
              <w:t xml:space="preserve"> is privileged to care for and accompany the dying person and their caregivers in the final phase of life, upholding their dignity and respecting their spiritual, physical, emotional, cultural and social needs.  Our care continues in the bereavement services that we offer caregivers and families.</w:t>
            </w:r>
          </w:p>
        </w:tc>
      </w:tr>
      <w:tr w:rsidR="009B67A9" w:rsidRPr="00713F10" w14:paraId="6890DD37" w14:textId="77777777" w:rsidTr="004D46C8">
        <w:tc>
          <w:tcPr>
            <w:tcW w:w="10349" w:type="dxa"/>
            <w:shd w:val="clear" w:color="auto" w:fill="F2F2F2" w:themeFill="background1" w:themeFillShade="F2"/>
          </w:tcPr>
          <w:p w14:paraId="543D77AF" w14:textId="77777777" w:rsidR="009B67A9" w:rsidRPr="00E72F5F" w:rsidRDefault="009B67A9" w:rsidP="008A16C2">
            <w:pPr>
              <w:rPr>
                <w:rFonts w:asciiTheme="minorHAnsi" w:hAnsiTheme="minorHAnsi" w:cstheme="minorHAnsi"/>
                <w:b/>
                <w:sz w:val="22"/>
                <w:szCs w:val="22"/>
              </w:rPr>
            </w:pPr>
            <w:r w:rsidRPr="00E72F5F">
              <w:rPr>
                <w:rFonts w:asciiTheme="minorHAnsi" w:hAnsiTheme="minorHAnsi" w:cstheme="minorHAnsi"/>
                <w:b/>
                <w:i/>
                <w:sz w:val="22"/>
                <w:szCs w:val="22"/>
              </w:rPr>
              <w:t>Our Values:</w:t>
            </w:r>
            <w:r w:rsidRPr="00E72F5F">
              <w:rPr>
                <w:rFonts w:asciiTheme="minorHAnsi" w:hAnsiTheme="minorHAnsi" w:cstheme="minorHAnsi"/>
                <w:b/>
                <w:sz w:val="22"/>
                <w:szCs w:val="22"/>
              </w:rPr>
              <w:t xml:space="preserve">  </w:t>
            </w:r>
          </w:p>
          <w:p w14:paraId="552553A8" w14:textId="77777777" w:rsidR="009B67A9" w:rsidRPr="00E72F5F" w:rsidRDefault="009B67A9" w:rsidP="008A16C2">
            <w:pPr>
              <w:rPr>
                <w:rFonts w:asciiTheme="minorHAnsi" w:hAnsiTheme="minorHAnsi" w:cstheme="minorHAnsi"/>
                <w:i/>
                <w:sz w:val="22"/>
                <w:szCs w:val="22"/>
              </w:rPr>
            </w:pPr>
            <w:r w:rsidRPr="00E72F5F">
              <w:rPr>
                <w:rFonts w:asciiTheme="minorHAnsi" w:hAnsiTheme="minorHAnsi" w:cstheme="minorHAnsi"/>
                <w:b/>
                <w:i/>
                <w:sz w:val="22"/>
                <w:szCs w:val="22"/>
              </w:rPr>
              <w:t>Compassion</w:t>
            </w:r>
            <w:r w:rsidRPr="00E72F5F">
              <w:rPr>
                <w:rFonts w:asciiTheme="minorHAnsi" w:hAnsiTheme="minorHAnsi" w:cstheme="minorHAnsi"/>
                <w:i/>
                <w:sz w:val="22"/>
                <w:szCs w:val="22"/>
              </w:rPr>
              <w:t xml:space="preserve"> – includes sympathy for others in their suffering, listening, accepting and actively responding to their needs</w:t>
            </w:r>
          </w:p>
          <w:p w14:paraId="14074121" w14:textId="77777777" w:rsidR="009B67A9" w:rsidRPr="00E72F5F" w:rsidRDefault="009B67A9" w:rsidP="008A16C2">
            <w:pPr>
              <w:rPr>
                <w:rFonts w:asciiTheme="minorHAnsi" w:hAnsiTheme="minorHAnsi" w:cstheme="minorHAnsi"/>
                <w:i/>
                <w:sz w:val="22"/>
                <w:szCs w:val="22"/>
              </w:rPr>
            </w:pPr>
            <w:r w:rsidRPr="00E72F5F">
              <w:rPr>
                <w:rFonts w:asciiTheme="minorHAnsi" w:hAnsiTheme="minorHAnsi" w:cstheme="minorHAnsi"/>
                <w:b/>
                <w:i/>
                <w:sz w:val="22"/>
                <w:szCs w:val="22"/>
              </w:rPr>
              <w:t>Dignity</w:t>
            </w:r>
            <w:r w:rsidRPr="00E72F5F">
              <w:rPr>
                <w:rFonts w:asciiTheme="minorHAnsi" w:hAnsiTheme="minorHAnsi" w:cstheme="minorHAnsi"/>
                <w:i/>
                <w:sz w:val="22"/>
                <w:szCs w:val="22"/>
              </w:rPr>
              <w:t xml:space="preserve"> – upholding the unique personality, situation and choices of others, valuing their lives in the face of death and respecting their rights</w:t>
            </w:r>
          </w:p>
          <w:p w14:paraId="755A5472" w14:textId="77777777" w:rsidR="009B67A9" w:rsidRPr="00E72F5F" w:rsidRDefault="009B67A9" w:rsidP="008A16C2">
            <w:pPr>
              <w:rPr>
                <w:rFonts w:asciiTheme="minorHAnsi" w:hAnsiTheme="minorHAnsi" w:cstheme="minorHAnsi"/>
                <w:i/>
                <w:sz w:val="22"/>
                <w:szCs w:val="22"/>
              </w:rPr>
            </w:pPr>
            <w:r w:rsidRPr="00E72F5F">
              <w:rPr>
                <w:rFonts w:asciiTheme="minorHAnsi" w:hAnsiTheme="minorHAnsi" w:cstheme="minorHAnsi"/>
                <w:b/>
                <w:i/>
                <w:sz w:val="22"/>
                <w:szCs w:val="22"/>
              </w:rPr>
              <w:t>Excellence</w:t>
            </w:r>
            <w:r w:rsidRPr="00E72F5F">
              <w:rPr>
                <w:rFonts w:asciiTheme="minorHAnsi" w:hAnsiTheme="minorHAnsi" w:cstheme="minorHAnsi"/>
                <w:i/>
                <w:sz w:val="22"/>
                <w:szCs w:val="22"/>
              </w:rPr>
              <w:t xml:space="preserve"> – striving to do our best for those in our care and to give leadership through quality care, ethical practice, research and innovation</w:t>
            </w:r>
          </w:p>
          <w:p w14:paraId="256681DE" w14:textId="77777777" w:rsidR="009B67A9" w:rsidRPr="00E72F5F" w:rsidRDefault="009B67A9" w:rsidP="008A16C2">
            <w:pPr>
              <w:rPr>
                <w:rFonts w:asciiTheme="minorHAnsi" w:hAnsiTheme="minorHAnsi" w:cstheme="minorHAnsi"/>
                <w:sz w:val="22"/>
                <w:szCs w:val="22"/>
              </w:rPr>
            </w:pPr>
            <w:r w:rsidRPr="00E72F5F">
              <w:rPr>
                <w:rFonts w:asciiTheme="minorHAnsi" w:hAnsiTheme="minorHAnsi" w:cstheme="minorHAnsi"/>
                <w:b/>
                <w:i/>
                <w:sz w:val="22"/>
                <w:szCs w:val="22"/>
              </w:rPr>
              <w:t>Partnering</w:t>
            </w:r>
            <w:r w:rsidRPr="00E72F5F">
              <w:rPr>
                <w:rFonts w:asciiTheme="minorHAnsi" w:hAnsiTheme="minorHAnsi" w:cstheme="minorHAnsi"/>
                <w:i/>
                <w:sz w:val="22"/>
                <w:szCs w:val="22"/>
              </w:rPr>
              <w:t xml:space="preserve"> – vesting control in the client while joining with others to give continuous care</w:t>
            </w:r>
          </w:p>
        </w:tc>
      </w:tr>
      <w:tr w:rsidR="00916FEA" w:rsidRPr="00DD1297" w14:paraId="05792F32" w14:textId="77777777" w:rsidTr="004D46C8">
        <w:tc>
          <w:tcPr>
            <w:tcW w:w="10349" w:type="dxa"/>
            <w:shd w:val="clear" w:color="auto" w:fill="F2F2F2" w:themeFill="background1" w:themeFillShade="F2"/>
          </w:tcPr>
          <w:p w14:paraId="18837055" w14:textId="77777777" w:rsidR="00916FEA" w:rsidRPr="00E72F5F" w:rsidRDefault="00916FEA" w:rsidP="00C42A7F">
            <w:pPr>
              <w:rPr>
                <w:rFonts w:asciiTheme="minorHAnsi" w:hAnsiTheme="minorHAnsi" w:cstheme="minorHAnsi"/>
                <w:i/>
                <w:sz w:val="22"/>
                <w:szCs w:val="22"/>
              </w:rPr>
            </w:pPr>
            <w:r w:rsidRPr="00E72F5F">
              <w:rPr>
                <w:rFonts w:asciiTheme="minorHAnsi" w:hAnsiTheme="minorHAnsi" w:cstheme="minorHAnsi"/>
                <w:b/>
                <w:i/>
                <w:sz w:val="22"/>
                <w:szCs w:val="22"/>
              </w:rPr>
              <w:t xml:space="preserve">Equity and Access:  </w:t>
            </w:r>
            <w:r w:rsidRPr="00E72F5F">
              <w:rPr>
                <w:rFonts w:asciiTheme="minorHAnsi" w:hAnsiTheme="minorHAnsi" w:cstheme="minorHAnsi"/>
                <w:i/>
                <w:sz w:val="22"/>
                <w:szCs w:val="22"/>
              </w:rPr>
              <w:t>E</w:t>
            </w:r>
            <w:r w:rsidR="00C42A7F" w:rsidRPr="00E72F5F">
              <w:rPr>
                <w:rFonts w:asciiTheme="minorHAnsi" w:hAnsiTheme="minorHAnsi" w:cstheme="minorHAnsi"/>
                <w:i/>
                <w:sz w:val="22"/>
                <w:szCs w:val="22"/>
              </w:rPr>
              <w:t>PC</w:t>
            </w:r>
            <w:r w:rsidRPr="00E72F5F">
              <w:rPr>
                <w:rFonts w:asciiTheme="minorHAnsi" w:hAnsiTheme="minorHAnsi" w:cstheme="minorHAnsi"/>
                <w:i/>
                <w:sz w:val="22"/>
                <w:szCs w:val="22"/>
              </w:rPr>
              <w:t xml:space="preserve"> is committed to equal opportunity, social justice, cultural diversity and social inclusion in community based palliative care. We recognise the value of diversity amongst staff and clients and we aim to create an inclusive work and health care environment free from discrimination and harassment. We also respect that different cultures, rights and practices exist within the community.</w:t>
            </w:r>
          </w:p>
        </w:tc>
      </w:tr>
    </w:tbl>
    <w:p w14:paraId="15143B20" w14:textId="77777777" w:rsidR="009B67A9" w:rsidRDefault="009B67A9" w:rsidP="009B67A9">
      <w:pPr>
        <w:rPr>
          <w:rFonts w:ascii="Arial Narrow" w:hAnsi="Arial Narrow"/>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9B67A9" w:rsidRPr="003A25CF" w14:paraId="0ED8FD87" w14:textId="77777777" w:rsidTr="004D46C8">
        <w:tc>
          <w:tcPr>
            <w:tcW w:w="10349" w:type="dxa"/>
            <w:shd w:val="clear" w:color="auto" w:fill="D6E3BC" w:themeFill="accent3" w:themeFillTint="66"/>
          </w:tcPr>
          <w:p w14:paraId="442D09AD" w14:textId="36F87851" w:rsidR="009B67A9" w:rsidRPr="00812B84" w:rsidRDefault="00CE351F" w:rsidP="008A16C2">
            <w:pPr>
              <w:spacing w:before="60" w:after="60"/>
              <w:jc w:val="center"/>
              <w:rPr>
                <w:rFonts w:asciiTheme="minorHAnsi" w:hAnsiTheme="minorHAnsi" w:cstheme="minorHAnsi"/>
                <w:b/>
                <w:caps/>
                <w:sz w:val="28"/>
                <w:szCs w:val="28"/>
              </w:rPr>
            </w:pPr>
            <w:r>
              <w:rPr>
                <w:rFonts w:asciiTheme="minorHAnsi" w:hAnsiTheme="minorHAnsi" w:cstheme="minorHAnsi"/>
                <w:b/>
                <w:caps/>
                <w:sz w:val="28"/>
                <w:szCs w:val="28"/>
              </w:rPr>
              <w:t>SENIOR DATA ANALYST/BIOSTATI</w:t>
            </w:r>
            <w:r w:rsidR="0056428A">
              <w:rPr>
                <w:rFonts w:asciiTheme="minorHAnsi" w:hAnsiTheme="minorHAnsi" w:cstheme="minorHAnsi"/>
                <w:b/>
                <w:caps/>
                <w:sz w:val="28"/>
                <w:szCs w:val="28"/>
              </w:rPr>
              <w:t>sti</w:t>
            </w:r>
            <w:r>
              <w:rPr>
                <w:rFonts w:asciiTheme="minorHAnsi" w:hAnsiTheme="minorHAnsi" w:cstheme="minorHAnsi"/>
                <w:b/>
                <w:caps/>
                <w:sz w:val="28"/>
                <w:szCs w:val="28"/>
              </w:rPr>
              <w:t>CIAN</w:t>
            </w:r>
          </w:p>
        </w:tc>
      </w:tr>
      <w:tr w:rsidR="009B67A9" w:rsidRPr="00616ABD" w14:paraId="7A337CB9" w14:textId="77777777" w:rsidTr="009B67A9">
        <w:trPr>
          <w:trHeight w:val="1129"/>
        </w:trPr>
        <w:tc>
          <w:tcPr>
            <w:tcW w:w="10349" w:type="dxa"/>
            <w:tcBorders>
              <w:bottom w:val="single" w:sz="4" w:space="0" w:color="auto"/>
            </w:tcBorders>
            <w:vAlign w:val="center"/>
          </w:tcPr>
          <w:p w14:paraId="3582E90E" w14:textId="770BFA5B" w:rsidR="005B51B0" w:rsidRPr="003C1ED6" w:rsidRDefault="00804B46" w:rsidP="0050788E">
            <w:pPr>
              <w:pStyle w:val="BodyText"/>
              <w:spacing w:line="320" w:lineRule="atLeast"/>
              <w:jc w:val="left"/>
              <w:rPr>
                <w:rFonts w:asciiTheme="minorHAnsi" w:hAnsiTheme="minorHAnsi" w:cstheme="minorHAnsi"/>
                <w:sz w:val="22"/>
                <w:szCs w:val="22"/>
              </w:rPr>
            </w:pPr>
            <w:r w:rsidRPr="00804B46">
              <w:rPr>
                <w:rFonts w:asciiTheme="minorHAnsi" w:eastAsiaTheme="minorHAnsi" w:hAnsiTheme="minorHAnsi" w:cstheme="minorHAnsi"/>
                <w:i/>
                <w:iCs/>
                <w:sz w:val="22"/>
                <w:szCs w:val="22"/>
              </w:rPr>
              <w:t xml:space="preserve">Reporting </w:t>
            </w:r>
            <w:r w:rsidR="00CE351F">
              <w:rPr>
                <w:rFonts w:asciiTheme="minorHAnsi" w:eastAsiaTheme="minorHAnsi" w:hAnsiTheme="minorHAnsi" w:cstheme="minorHAnsi"/>
                <w:i/>
                <w:iCs/>
                <w:sz w:val="22"/>
                <w:szCs w:val="22"/>
              </w:rPr>
              <w:t>to</w:t>
            </w:r>
            <w:r>
              <w:rPr>
                <w:rFonts w:asciiTheme="minorHAnsi" w:eastAsiaTheme="minorHAnsi" w:hAnsiTheme="minorHAnsi" w:cstheme="minorHAnsi"/>
                <w:i/>
                <w:iCs/>
                <w:sz w:val="22"/>
                <w:szCs w:val="22"/>
              </w:rPr>
              <w:t xml:space="preserve"> </w:t>
            </w:r>
            <w:r w:rsidRPr="00804B46">
              <w:rPr>
                <w:rFonts w:asciiTheme="minorHAnsi" w:eastAsiaTheme="minorHAnsi" w:hAnsiTheme="minorHAnsi" w:cstheme="minorHAnsi"/>
                <w:i/>
                <w:iCs/>
                <w:sz w:val="22"/>
                <w:szCs w:val="22"/>
              </w:rPr>
              <w:t xml:space="preserve">the </w:t>
            </w:r>
            <w:r w:rsidR="0050788E">
              <w:rPr>
                <w:rFonts w:asciiTheme="minorHAnsi" w:eastAsiaTheme="minorHAnsi" w:hAnsiTheme="minorHAnsi" w:cstheme="minorHAnsi"/>
                <w:i/>
                <w:iCs/>
                <w:sz w:val="22"/>
                <w:szCs w:val="22"/>
              </w:rPr>
              <w:t>Business Manager</w:t>
            </w:r>
            <w:r w:rsidR="00CE351F">
              <w:rPr>
                <w:rFonts w:asciiTheme="minorHAnsi" w:eastAsiaTheme="minorHAnsi" w:hAnsiTheme="minorHAnsi" w:cstheme="minorHAnsi"/>
                <w:i/>
                <w:iCs/>
                <w:sz w:val="22"/>
                <w:szCs w:val="22"/>
              </w:rPr>
              <w:t>, the data analyst will provide statistical support in the analysis and reporting data from registries including the organisation’s Client Information Management System (</w:t>
            </w:r>
            <w:proofErr w:type="spellStart"/>
            <w:r w:rsidR="00CE351F">
              <w:rPr>
                <w:rFonts w:asciiTheme="minorHAnsi" w:eastAsiaTheme="minorHAnsi" w:hAnsiTheme="minorHAnsi" w:cstheme="minorHAnsi"/>
                <w:i/>
                <w:iCs/>
                <w:sz w:val="22"/>
                <w:szCs w:val="22"/>
              </w:rPr>
              <w:t>PalCare</w:t>
            </w:r>
            <w:proofErr w:type="spellEnd"/>
            <w:r w:rsidR="00CE351F">
              <w:rPr>
                <w:rFonts w:asciiTheme="minorHAnsi" w:eastAsiaTheme="minorHAnsi" w:hAnsiTheme="minorHAnsi" w:cstheme="minorHAnsi"/>
                <w:i/>
                <w:iCs/>
                <w:sz w:val="22"/>
                <w:szCs w:val="22"/>
              </w:rPr>
              <w:t xml:space="preserve">) in an accurate and timely manner.  You will be required to provide analytical support over a number of projects and to understand, consult and help direct any statistical analysis. Additionally, the role will require the formulation and delivery of training seminars and workshops designed to upskill and empower our staff in statistics. </w:t>
            </w:r>
            <w:r w:rsidR="00011BED">
              <w:rPr>
                <w:rFonts w:asciiTheme="minorHAnsi" w:eastAsiaTheme="minorHAnsi" w:hAnsiTheme="minorHAnsi" w:cstheme="minorHAnsi"/>
                <w:i/>
                <w:iCs/>
                <w:sz w:val="22"/>
                <w:szCs w:val="22"/>
              </w:rPr>
              <w:t xml:space="preserve">The person will work independently and in collaboration with the </w:t>
            </w:r>
            <w:proofErr w:type="spellStart"/>
            <w:r w:rsidR="00011BED">
              <w:rPr>
                <w:rFonts w:asciiTheme="minorHAnsi" w:eastAsiaTheme="minorHAnsi" w:hAnsiTheme="minorHAnsi" w:cstheme="minorHAnsi"/>
                <w:i/>
                <w:iCs/>
                <w:sz w:val="22"/>
                <w:szCs w:val="22"/>
              </w:rPr>
              <w:t>PalCare</w:t>
            </w:r>
            <w:proofErr w:type="spellEnd"/>
            <w:r w:rsidR="00011BED">
              <w:rPr>
                <w:rFonts w:asciiTheme="minorHAnsi" w:eastAsiaTheme="minorHAnsi" w:hAnsiTheme="minorHAnsi" w:cstheme="minorHAnsi"/>
                <w:i/>
                <w:iCs/>
                <w:sz w:val="22"/>
                <w:szCs w:val="22"/>
              </w:rPr>
              <w:t xml:space="preserve"> Administrator under the supervision of the Business Manager. </w:t>
            </w:r>
          </w:p>
        </w:tc>
      </w:tr>
      <w:tr w:rsidR="009B67A9" w:rsidRPr="00DC08C7" w14:paraId="7C7BA8B7" w14:textId="77777777" w:rsidTr="004D46C8">
        <w:tc>
          <w:tcPr>
            <w:tcW w:w="10349" w:type="dxa"/>
            <w:shd w:val="clear" w:color="auto" w:fill="D6E3BC" w:themeFill="accent3" w:themeFillTint="66"/>
          </w:tcPr>
          <w:p w14:paraId="2444BFB8" w14:textId="77777777" w:rsidR="009B67A9" w:rsidRPr="00812B84" w:rsidRDefault="009B67A9" w:rsidP="008A16C2">
            <w:pPr>
              <w:spacing w:before="60" w:after="60"/>
              <w:jc w:val="center"/>
              <w:rPr>
                <w:rFonts w:asciiTheme="minorHAnsi" w:hAnsiTheme="minorHAnsi" w:cstheme="minorHAnsi"/>
                <w:b/>
                <w:sz w:val="28"/>
                <w:szCs w:val="28"/>
              </w:rPr>
            </w:pPr>
            <w:r w:rsidRPr="00812B84">
              <w:rPr>
                <w:rFonts w:asciiTheme="minorHAnsi" w:hAnsiTheme="minorHAnsi" w:cstheme="minorHAnsi"/>
                <w:b/>
                <w:sz w:val="28"/>
                <w:szCs w:val="28"/>
              </w:rPr>
              <w:t xml:space="preserve">Essential Education Qualifications/Competencies: </w:t>
            </w:r>
          </w:p>
        </w:tc>
      </w:tr>
      <w:tr w:rsidR="009B67A9" w:rsidRPr="0060788A" w14:paraId="605B682B" w14:textId="77777777" w:rsidTr="00DB691F">
        <w:trPr>
          <w:trHeight w:val="2719"/>
        </w:trPr>
        <w:tc>
          <w:tcPr>
            <w:tcW w:w="10349" w:type="dxa"/>
            <w:tcBorders>
              <w:bottom w:val="single" w:sz="4" w:space="0" w:color="auto"/>
            </w:tcBorders>
          </w:tcPr>
          <w:p w14:paraId="2F04817F" w14:textId="77777777" w:rsidR="003C1ED6" w:rsidRDefault="003C1ED6" w:rsidP="003C1ED6">
            <w:pPr>
              <w:pStyle w:val="ListParagraph"/>
              <w:autoSpaceDE w:val="0"/>
              <w:autoSpaceDN w:val="0"/>
              <w:adjustRightInd w:val="0"/>
              <w:ind w:left="379"/>
              <w:rPr>
                <w:rFonts w:asciiTheme="minorHAnsi" w:eastAsiaTheme="minorHAnsi" w:hAnsiTheme="minorHAnsi" w:cstheme="minorHAnsi"/>
                <w:sz w:val="22"/>
                <w:szCs w:val="22"/>
                <w:lang w:val="en-AU"/>
              </w:rPr>
            </w:pPr>
          </w:p>
          <w:p w14:paraId="5AE8B948" w14:textId="77777777" w:rsidR="00EC4FFB" w:rsidRPr="00EC4FFB" w:rsidRDefault="00EC4FFB" w:rsidP="00EC4FFB">
            <w:pPr>
              <w:pStyle w:val="ListParagraph"/>
              <w:numPr>
                <w:ilvl w:val="0"/>
                <w:numId w:val="21"/>
              </w:numPr>
              <w:autoSpaceDE w:val="0"/>
              <w:autoSpaceDN w:val="0"/>
              <w:adjustRightInd w:val="0"/>
              <w:rPr>
                <w:rFonts w:asciiTheme="minorHAnsi" w:eastAsiaTheme="minorHAnsi" w:hAnsiTheme="minorHAnsi" w:cstheme="minorHAnsi"/>
                <w:sz w:val="22"/>
                <w:szCs w:val="22"/>
                <w:lang w:val="en-AU"/>
              </w:rPr>
            </w:pPr>
            <w:r w:rsidRPr="00EC4FFB">
              <w:rPr>
                <w:rFonts w:asciiTheme="minorHAnsi" w:eastAsiaTheme="minorHAnsi" w:hAnsiTheme="minorHAnsi" w:cstheme="minorHAnsi"/>
                <w:sz w:val="22"/>
                <w:szCs w:val="22"/>
                <w:lang w:val="en-AU"/>
              </w:rPr>
              <w:t>A bachelor’s degree in a quantitative field with several years working experience, preferably in the field of public health, or a Master’s in Public Health degree or a Master’s degree in a related quantitative field.  OR An Honours (Class I), MSc or PhD in Physics, Mathematics, Statistics, Bioinformatics, or an equivalent recognised qualification and experience in biological data analysis</w:t>
            </w:r>
          </w:p>
          <w:p w14:paraId="2D18D853" w14:textId="77777777" w:rsidR="00EC4FFB" w:rsidRPr="00EC4FFB" w:rsidRDefault="00EC4FFB" w:rsidP="00EC4FFB">
            <w:pPr>
              <w:pStyle w:val="ListParagraph"/>
              <w:numPr>
                <w:ilvl w:val="0"/>
                <w:numId w:val="21"/>
              </w:numPr>
              <w:autoSpaceDE w:val="0"/>
              <w:autoSpaceDN w:val="0"/>
              <w:adjustRightInd w:val="0"/>
              <w:rPr>
                <w:rFonts w:asciiTheme="minorHAnsi" w:eastAsiaTheme="minorHAnsi" w:hAnsiTheme="minorHAnsi" w:cstheme="minorHAnsi"/>
                <w:sz w:val="22"/>
                <w:szCs w:val="22"/>
                <w:lang w:val="en-AU"/>
              </w:rPr>
            </w:pPr>
            <w:r w:rsidRPr="00EC4FFB">
              <w:rPr>
                <w:rFonts w:asciiTheme="minorHAnsi" w:eastAsiaTheme="minorHAnsi" w:hAnsiTheme="minorHAnsi" w:cstheme="minorHAnsi"/>
                <w:sz w:val="22"/>
                <w:szCs w:val="22"/>
                <w:lang w:val="en-AU"/>
              </w:rPr>
              <w:t>A minimum of five years in the analysis and interpretation of complex, quantitative biological data</w:t>
            </w:r>
          </w:p>
          <w:p w14:paraId="2D2FA179" w14:textId="77777777" w:rsidR="00EC4FFB" w:rsidRDefault="00EC4FFB" w:rsidP="000A6FAD">
            <w:pPr>
              <w:pStyle w:val="ListParagraph"/>
              <w:numPr>
                <w:ilvl w:val="0"/>
                <w:numId w:val="21"/>
              </w:numPr>
              <w:autoSpaceDE w:val="0"/>
              <w:autoSpaceDN w:val="0"/>
              <w:adjustRightInd w:val="0"/>
              <w:rPr>
                <w:rFonts w:asciiTheme="minorHAnsi" w:eastAsiaTheme="minorHAnsi" w:hAnsiTheme="minorHAnsi" w:cstheme="minorHAnsi"/>
                <w:sz w:val="22"/>
                <w:szCs w:val="22"/>
                <w:lang w:val="en-AU"/>
              </w:rPr>
            </w:pPr>
            <w:r w:rsidRPr="00EC4FFB">
              <w:rPr>
                <w:rFonts w:asciiTheme="minorHAnsi" w:eastAsiaTheme="minorHAnsi" w:hAnsiTheme="minorHAnsi" w:cstheme="minorHAnsi"/>
                <w:sz w:val="22"/>
                <w:szCs w:val="22"/>
                <w:lang w:val="en-AU"/>
              </w:rPr>
              <w:t xml:space="preserve">High-level analytical skills, data manipulation, visualization and exploratory data analytical skills </w:t>
            </w:r>
          </w:p>
          <w:p w14:paraId="17527713" w14:textId="77777777" w:rsidR="00EC4FFB" w:rsidRPr="00EC4FFB" w:rsidRDefault="00EC4FFB" w:rsidP="000A6FAD">
            <w:pPr>
              <w:pStyle w:val="ListParagraph"/>
              <w:numPr>
                <w:ilvl w:val="0"/>
                <w:numId w:val="21"/>
              </w:numPr>
              <w:autoSpaceDE w:val="0"/>
              <w:autoSpaceDN w:val="0"/>
              <w:adjustRightInd w:val="0"/>
              <w:rPr>
                <w:rFonts w:asciiTheme="minorHAnsi" w:eastAsiaTheme="minorHAnsi" w:hAnsiTheme="minorHAnsi" w:cstheme="minorHAnsi"/>
                <w:sz w:val="22"/>
                <w:szCs w:val="22"/>
                <w:lang w:val="en-AU"/>
              </w:rPr>
            </w:pPr>
            <w:r w:rsidRPr="00EC4FFB">
              <w:rPr>
                <w:rFonts w:asciiTheme="minorHAnsi" w:eastAsiaTheme="minorHAnsi" w:hAnsiTheme="minorHAnsi" w:cstheme="minorHAnsi"/>
                <w:sz w:val="22"/>
                <w:szCs w:val="22"/>
                <w:lang w:val="en-AU"/>
              </w:rPr>
              <w:t>Sound understanding of statistical principles</w:t>
            </w:r>
          </w:p>
          <w:p w14:paraId="51AEDEC1" w14:textId="77777777" w:rsidR="00EC4FFB" w:rsidRPr="00EC4FFB" w:rsidRDefault="00EC4FFB" w:rsidP="00EC4FFB">
            <w:pPr>
              <w:pStyle w:val="ListParagraph"/>
              <w:numPr>
                <w:ilvl w:val="0"/>
                <w:numId w:val="21"/>
              </w:numPr>
              <w:autoSpaceDE w:val="0"/>
              <w:autoSpaceDN w:val="0"/>
              <w:adjustRightInd w:val="0"/>
              <w:rPr>
                <w:rFonts w:asciiTheme="minorHAnsi" w:eastAsiaTheme="minorHAnsi" w:hAnsiTheme="minorHAnsi" w:cstheme="minorHAnsi"/>
                <w:sz w:val="22"/>
                <w:szCs w:val="22"/>
                <w:lang w:val="en-AU"/>
              </w:rPr>
            </w:pPr>
            <w:r w:rsidRPr="00EC4FFB">
              <w:rPr>
                <w:rFonts w:asciiTheme="minorHAnsi" w:eastAsiaTheme="minorHAnsi" w:hAnsiTheme="minorHAnsi" w:cstheme="minorHAnsi"/>
                <w:sz w:val="22"/>
                <w:szCs w:val="22"/>
                <w:lang w:val="en-AU"/>
              </w:rPr>
              <w:t>Good knowledge of healthcare data</w:t>
            </w:r>
          </w:p>
          <w:p w14:paraId="3CA47D90" w14:textId="77777777" w:rsidR="00EC4FFB" w:rsidRPr="00EC4FFB" w:rsidRDefault="00EC4FFB" w:rsidP="00EC4FFB">
            <w:pPr>
              <w:pStyle w:val="ListParagraph"/>
              <w:numPr>
                <w:ilvl w:val="0"/>
                <w:numId w:val="21"/>
              </w:numPr>
              <w:autoSpaceDE w:val="0"/>
              <w:autoSpaceDN w:val="0"/>
              <w:adjustRightInd w:val="0"/>
              <w:rPr>
                <w:rFonts w:asciiTheme="minorHAnsi" w:eastAsiaTheme="minorHAnsi" w:hAnsiTheme="minorHAnsi" w:cstheme="minorHAnsi"/>
                <w:sz w:val="22"/>
                <w:szCs w:val="22"/>
                <w:lang w:val="en-AU"/>
              </w:rPr>
            </w:pPr>
            <w:r w:rsidRPr="00EC4FFB">
              <w:rPr>
                <w:rFonts w:asciiTheme="minorHAnsi" w:eastAsiaTheme="minorHAnsi" w:hAnsiTheme="minorHAnsi" w:cstheme="minorHAnsi"/>
                <w:sz w:val="22"/>
                <w:szCs w:val="22"/>
                <w:lang w:val="en-AU"/>
              </w:rPr>
              <w:t>Excellent written communication and verbal communication skills with proven ability to produce clear, succinct reports and documents</w:t>
            </w:r>
          </w:p>
          <w:p w14:paraId="0D71C2ED" w14:textId="77777777" w:rsidR="00EC4FFB" w:rsidRPr="00EC4FFB" w:rsidRDefault="00EC4FFB" w:rsidP="00EC4FFB">
            <w:pPr>
              <w:pStyle w:val="ListParagraph"/>
              <w:numPr>
                <w:ilvl w:val="0"/>
                <w:numId w:val="21"/>
              </w:numPr>
              <w:autoSpaceDE w:val="0"/>
              <w:autoSpaceDN w:val="0"/>
              <w:adjustRightInd w:val="0"/>
              <w:rPr>
                <w:rFonts w:asciiTheme="minorHAnsi" w:eastAsiaTheme="minorHAnsi" w:hAnsiTheme="minorHAnsi" w:cstheme="minorHAnsi"/>
                <w:sz w:val="22"/>
                <w:szCs w:val="22"/>
                <w:lang w:val="en-AU"/>
              </w:rPr>
            </w:pPr>
            <w:r w:rsidRPr="00EC4FFB">
              <w:rPr>
                <w:rFonts w:asciiTheme="minorHAnsi" w:eastAsiaTheme="minorHAnsi" w:hAnsiTheme="minorHAnsi" w:cstheme="minorHAnsi"/>
                <w:sz w:val="22"/>
                <w:szCs w:val="22"/>
                <w:lang w:val="en-AU"/>
              </w:rPr>
              <w:t>A demonstrated awareness of the principles of confidentiality, privacy and information handling</w:t>
            </w:r>
          </w:p>
          <w:p w14:paraId="604FA7C2" w14:textId="77777777" w:rsidR="00EC4FFB" w:rsidRPr="00EC4FFB" w:rsidRDefault="00EC4FFB" w:rsidP="00EC4FFB">
            <w:pPr>
              <w:pStyle w:val="ListParagraph"/>
              <w:numPr>
                <w:ilvl w:val="0"/>
                <w:numId w:val="21"/>
              </w:numPr>
              <w:autoSpaceDE w:val="0"/>
              <w:autoSpaceDN w:val="0"/>
              <w:adjustRightInd w:val="0"/>
              <w:rPr>
                <w:rFonts w:asciiTheme="minorHAnsi" w:eastAsiaTheme="minorHAnsi" w:hAnsiTheme="minorHAnsi" w:cstheme="minorHAnsi"/>
                <w:sz w:val="22"/>
                <w:szCs w:val="22"/>
                <w:lang w:val="en-AU"/>
              </w:rPr>
            </w:pPr>
            <w:r w:rsidRPr="00EC4FFB">
              <w:rPr>
                <w:rFonts w:asciiTheme="minorHAnsi" w:eastAsiaTheme="minorHAnsi" w:hAnsiTheme="minorHAnsi" w:cstheme="minorHAnsi"/>
                <w:sz w:val="22"/>
                <w:szCs w:val="22"/>
                <w:lang w:val="en-AU"/>
              </w:rPr>
              <w:t>Capacity to work in a collegiate manner with other staff in the workplace</w:t>
            </w:r>
          </w:p>
          <w:p w14:paraId="6AE39703" w14:textId="7F49D425" w:rsidR="00804B46" w:rsidRPr="00B5383D" w:rsidRDefault="00804B46" w:rsidP="00EC4FFB">
            <w:pPr>
              <w:pStyle w:val="ListParagraph"/>
              <w:numPr>
                <w:ilvl w:val="0"/>
                <w:numId w:val="21"/>
              </w:numPr>
              <w:autoSpaceDE w:val="0"/>
              <w:autoSpaceDN w:val="0"/>
              <w:adjustRightInd w:val="0"/>
              <w:rPr>
                <w:rFonts w:asciiTheme="minorHAnsi" w:eastAsiaTheme="minorHAnsi" w:hAnsiTheme="minorHAnsi" w:cstheme="minorHAnsi"/>
                <w:sz w:val="22"/>
                <w:szCs w:val="22"/>
                <w:lang w:val="en-AU"/>
              </w:rPr>
            </w:pPr>
            <w:r w:rsidRPr="00EC4FFB">
              <w:rPr>
                <w:rFonts w:asciiTheme="minorHAnsi" w:eastAsiaTheme="minorHAnsi" w:hAnsiTheme="minorHAnsi" w:cstheme="minorHAnsi"/>
                <w:sz w:val="22"/>
                <w:szCs w:val="22"/>
                <w:lang w:val="en-AU"/>
              </w:rPr>
              <w:lastRenderedPageBreak/>
              <w:t xml:space="preserve">High level of competency in Software Applications e.g.: </w:t>
            </w:r>
            <w:r w:rsidR="00B5383D">
              <w:rPr>
                <w:rFonts w:asciiTheme="minorHAnsi" w:eastAsiaTheme="minorHAnsi" w:hAnsiTheme="minorHAnsi" w:cstheme="minorHAnsi"/>
                <w:sz w:val="22"/>
                <w:szCs w:val="22"/>
                <w:lang w:val="en-AU"/>
              </w:rPr>
              <w:t xml:space="preserve">PostgreSQL, </w:t>
            </w:r>
            <w:r w:rsidRPr="00EC4FFB">
              <w:rPr>
                <w:rFonts w:asciiTheme="minorHAnsi" w:eastAsiaTheme="minorHAnsi" w:hAnsiTheme="minorHAnsi" w:cstheme="minorHAnsi"/>
                <w:sz w:val="22"/>
                <w:szCs w:val="22"/>
                <w:lang w:val="en-AU"/>
              </w:rPr>
              <w:t>Microsoft Office</w:t>
            </w:r>
            <w:r w:rsidR="00B5383D">
              <w:rPr>
                <w:rFonts w:asciiTheme="minorHAnsi" w:eastAsiaTheme="minorHAnsi" w:hAnsiTheme="minorHAnsi" w:cstheme="minorHAnsi"/>
                <w:sz w:val="22"/>
                <w:szCs w:val="22"/>
                <w:lang w:val="en-AU"/>
              </w:rPr>
              <w:t>/Access</w:t>
            </w:r>
            <w:r w:rsidRPr="00EC4FFB">
              <w:rPr>
                <w:rFonts w:asciiTheme="minorHAnsi" w:eastAsiaTheme="minorHAnsi" w:hAnsiTheme="minorHAnsi" w:cstheme="minorHAnsi"/>
                <w:sz w:val="22"/>
                <w:szCs w:val="22"/>
                <w:lang w:val="en-AU"/>
              </w:rPr>
              <w:t xml:space="preserve">/Word/Excel </w:t>
            </w:r>
            <w:r w:rsidRPr="00B5383D">
              <w:rPr>
                <w:rFonts w:asciiTheme="minorHAnsi" w:eastAsiaTheme="minorHAnsi" w:hAnsiTheme="minorHAnsi" w:cstheme="minorHAnsi"/>
                <w:sz w:val="22"/>
                <w:szCs w:val="22"/>
                <w:lang w:val="en-AU"/>
              </w:rPr>
              <w:t xml:space="preserve">and </w:t>
            </w:r>
            <w:r w:rsidR="00CE351F" w:rsidRPr="00B5383D">
              <w:rPr>
                <w:rFonts w:asciiTheme="minorHAnsi" w:eastAsiaTheme="minorHAnsi" w:hAnsiTheme="minorHAnsi" w:cstheme="minorHAnsi"/>
                <w:sz w:val="22"/>
                <w:szCs w:val="22"/>
                <w:lang w:val="en-AU"/>
              </w:rPr>
              <w:t>Statistical Software package</w:t>
            </w:r>
            <w:r w:rsidR="00DB691F">
              <w:rPr>
                <w:rFonts w:asciiTheme="minorHAnsi" w:eastAsiaTheme="minorHAnsi" w:hAnsiTheme="minorHAnsi" w:cstheme="minorHAnsi"/>
                <w:sz w:val="22"/>
                <w:szCs w:val="22"/>
                <w:lang w:val="en-AU"/>
              </w:rPr>
              <w:t>s</w:t>
            </w:r>
          </w:p>
          <w:p w14:paraId="3825509E" w14:textId="77777777" w:rsidR="00804B46" w:rsidRDefault="00804B46" w:rsidP="00804B46">
            <w:pPr>
              <w:pStyle w:val="ListParagraph"/>
              <w:numPr>
                <w:ilvl w:val="0"/>
                <w:numId w:val="21"/>
              </w:numPr>
              <w:autoSpaceDE w:val="0"/>
              <w:autoSpaceDN w:val="0"/>
              <w:adjustRightInd w:val="0"/>
              <w:rPr>
                <w:rFonts w:asciiTheme="minorHAnsi" w:eastAsiaTheme="minorHAnsi" w:hAnsiTheme="minorHAnsi" w:cstheme="minorHAnsi"/>
                <w:sz w:val="22"/>
                <w:szCs w:val="22"/>
                <w:lang w:val="en-AU"/>
              </w:rPr>
            </w:pPr>
            <w:r w:rsidRPr="00804B46">
              <w:rPr>
                <w:rFonts w:asciiTheme="minorHAnsi" w:eastAsiaTheme="minorHAnsi" w:hAnsiTheme="minorHAnsi" w:cstheme="minorHAnsi"/>
                <w:sz w:val="22"/>
                <w:szCs w:val="22"/>
                <w:lang w:val="en-AU"/>
              </w:rPr>
              <w:t>High level organisation and time management skills</w:t>
            </w:r>
            <w:r w:rsidR="00CE351F">
              <w:rPr>
                <w:rFonts w:asciiTheme="minorHAnsi" w:eastAsiaTheme="minorHAnsi" w:hAnsiTheme="minorHAnsi" w:cstheme="minorHAnsi"/>
                <w:sz w:val="22"/>
                <w:szCs w:val="22"/>
                <w:lang w:val="en-AU"/>
              </w:rPr>
              <w:t xml:space="preserve"> with an adaptive style that responds to the changing business environment and demands</w:t>
            </w:r>
          </w:p>
          <w:p w14:paraId="0A928110" w14:textId="77777777" w:rsidR="00804B46" w:rsidRDefault="00804B46" w:rsidP="00804B46">
            <w:pPr>
              <w:pStyle w:val="ListParagraph"/>
              <w:numPr>
                <w:ilvl w:val="0"/>
                <w:numId w:val="21"/>
              </w:numPr>
              <w:autoSpaceDE w:val="0"/>
              <w:autoSpaceDN w:val="0"/>
              <w:adjustRightInd w:val="0"/>
              <w:rPr>
                <w:rFonts w:asciiTheme="minorHAnsi" w:eastAsiaTheme="minorHAnsi" w:hAnsiTheme="minorHAnsi" w:cstheme="minorHAnsi"/>
                <w:sz w:val="22"/>
                <w:szCs w:val="22"/>
                <w:lang w:val="en-AU"/>
              </w:rPr>
            </w:pPr>
            <w:r w:rsidRPr="00804B46">
              <w:rPr>
                <w:rFonts w:asciiTheme="minorHAnsi" w:eastAsiaTheme="minorHAnsi" w:hAnsiTheme="minorHAnsi" w:cstheme="minorHAnsi"/>
                <w:sz w:val="22"/>
                <w:szCs w:val="22"/>
                <w:lang w:val="en-AU"/>
              </w:rPr>
              <w:t>Ability to work with a high level of independence and autonomy</w:t>
            </w:r>
            <w:r w:rsidR="00CE351F">
              <w:rPr>
                <w:rFonts w:asciiTheme="minorHAnsi" w:eastAsiaTheme="minorHAnsi" w:hAnsiTheme="minorHAnsi" w:cstheme="minorHAnsi"/>
                <w:sz w:val="22"/>
                <w:szCs w:val="22"/>
                <w:lang w:val="en-AU"/>
              </w:rPr>
              <w:t xml:space="preserve"> as well as working well within a team</w:t>
            </w:r>
          </w:p>
          <w:p w14:paraId="316DF71D" w14:textId="77777777" w:rsidR="00804B46" w:rsidRDefault="00CE351F" w:rsidP="00804B46">
            <w:pPr>
              <w:pStyle w:val="ListParagraph"/>
              <w:numPr>
                <w:ilvl w:val="0"/>
                <w:numId w:val="21"/>
              </w:numPr>
              <w:autoSpaceDE w:val="0"/>
              <w:autoSpaceDN w:val="0"/>
              <w:adjustRightInd w:val="0"/>
              <w:rPr>
                <w:rFonts w:asciiTheme="minorHAnsi" w:eastAsiaTheme="minorHAnsi" w:hAnsiTheme="minorHAnsi" w:cstheme="minorHAnsi"/>
                <w:sz w:val="22"/>
                <w:szCs w:val="22"/>
                <w:lang w:val="en-AU"/>
              </w:rPr>
            </w:pPr>
            <w:r>
              <w:rPr>
                <w:rFonts w:asciiTheme="minorHAnsi" w:eastAsiaTheme="minorHAnsi" w:hAnsiTheme="minorHAnsi" w:cstheme="minorHAnsi"/>
                <w:sz w:val="22"/>
                <w:szCs w:val="22"/>
                <w:lang w:val="en-AU"/>
              </w:rPr>
              <w:t>Experience in providing statistical consultation and training, preferably within a medical research environment</w:t>
            </w:r>
          </w:p>
          <w:p w14:paraId="62ADE521" w14:textId="77777777" w:rsidR="003C1ED6" w:rsidRPr="00804B46" w:rsidRDefault="00804B46" w:rsidP="00804B46">
            <w:pPr>
              <w:pStyle w:val="ListParagraph"/>
              <w:numPr>
                <w:ilvl w:val="0"/>
                <w:numId w:val="21"/>
              </w:numPr>
              <w:autoSpaceDE w:val="0"/>
              <w:autoSpaceDN w:val="0"/>
              <w:adjustRightInd w:val="0"/>
              <w:rPr>
                <w:rFonts w:asciiTheme="minorHAnsi" w:eastAsiaTheme="minorHAnsi" w:hAnsiTheme="minorHAnsi" w:cstheme="minorHAnsi"/>
                <w:sz w:val="22"/>
                <w:szCs w:val="22"/>
                <w:lang w:val="en-AU"/>
              </w:rPr>
            </w:pPr>
            <w:r w:rsidRPr="00804B46">
              <w:rPr>
                <w:rFonts w:asciiTheme="minorHAnsi" w:eastAsiaTheme="minorHAnsi" w:hAnsiTheme="minorHAnsi" w:cstheme="minorHAnsi"/>
                <w:sz w:val="22"/>
                <w:szCs w:val="22"/>
                <w:lang w:val="en-AU"/>
              </w:rPr>
              <w:t xml:space="preserve">Current Victorian driver’s licence, good driving record and willingness to use own vehicle in line with EPC Process Map 1761 – Motor Vehicle Use of </w:t>
            </w:r>
          </w:p>
          <w:p w14:paraId="51024D46" w14:textId="77777777" w:rsidR="003C1ED6" w:rsidRPr="003C1ED6" w:rsidRDefault="003C1ED6" w:rsidP="003C1ED6">
            <w:pPr>
              <w:pStyle w:val="ListParagraph"/>
              <w:autoSpaceDE w:val="0"/>
              <w:autoSpaceDN w:val="0"/>
              <w:adjustRightInd w:val="0"/>
              <w:ind w:left="379"/>
              <w:rPr>
                <w:rFonts w:asciiTheme="minorHAnsi" w:eastAsiaTheme="minorHAnsi" w:hAnsiTheme="minorHAnsi" w:cstheme="minorHAnsi"/>
                <w:sz w:val="22"/>
                <w:szCs w:val="22"/>
                <w:lang w:val="en-AU"/>
              </w:rPr>
            </w:pPr>
          </w:p>
        </w:tc>
      </w:tr>
      <w:tr w:rsidR="009B67A9" w:rsidRPr="00141038" w14:paraId="0E02772D" w14:textId="77777777" w:rsidTr="004D46C8">
        <w:trPr>
          <w:trHeight w:val="297"/>
        </w:trPr>
        <w:tc>
          <w:tcPr>
            <w:tcW w:w="10349" w:type="dxa"/>
            <w:tcBorders>
              <w:bottom w:val="single" w:sz="4" w:space="0" w:color="auto"/>
            </w:tcBorders>
            <w:shd w:val="clear" w:color="auto" w:fill="D6E3BC" w:themeFill="accent3" w:themeFillTint="66"/>
          </w:tcPr>
          <w:p w14:paraId="2DB82F7C" w14:textId="77777777" w:rsidR="009B67A9" w:rsidRPr="00812B84" w:rsidRDefault="009B67A9" w:rsidP="008A16C2">
            <w:pPr>
              <w:spacing w:before="60" w:after="60"/>
              <w:jc w:val="center"/>
              <w:rPr>
                <w:rFonts w:asciiTheme="minorHAnsi" w:hAnsiTheme="minorHAnsi" w:cstheme="minorHAnsi"/>
                <w:b/>
                <w:sz w:val="28"/>
                <w:szCs w:val="28"/>
              </w:rPr>
            </w:pPr>
            <w:r w:rsidRPr="00812B84">
              <w:rPr>
                <w:rFonts w:asciiTheme="minorHAnsi" w:hAnsiTheme="minorHAnsi" w:cstheme="minorHAnsi"/>
                <w:b/>
                <w:sz w:val="28"/>
                <w:szCs w:val="28"/>
              </w:rPr>
              <w:lastRenderedPageBreak/>
              <w:t>Key Results Areas:</w:t>
            </w:r>
          </w:p>
        </w:tc>
      </w:tr>
      <w:tr w:rsidR="009B67A9" w:rsidRPr="0060788A" w14:paraId="54AA6054" w14:textId="77777777" w:rsidTr="009B67A9">
        <w:trPr>
          <w:trHeight w:val="2124"/>
        </w:trPr>
        <w:tc>
          <w:tcPr>
            <w:tcW w:w="10349" w:type="dxa"/>
            <w:tcBorders>
              <w:bottom w:val="single" w:sz="4" w:space="0" w:color="auto"/>
            </w:tcBorders>
          </w:tcPr>
          <w:p w14:paraId="0FA2A5A2" w14:textId="77777777" w:rsidR="00804B46" w:rsidRPr="00804B46" w:rsidRDefault="00804B46" w:rsidP="00804B46">
            <w:pPr>
              <w:numPr>
                <w:ilvl w:val="0"/>
                <w:numId w:val="3"/>
              </w:numPr>
              <w:spacing w:after="80"/>
              <w:rPr>
                <w:rFonts w:ascii="Arial Narrow" w:hAnsi="Arial Narrow"/>
              </w:rPr>
            </w:pPr>
            <w:r w:rsidRPr="00804B46">
              <w:rPr>
                <w:rFonts w:asciiTheme="minorHAnsi" w:eastAsiaTheme="minorHAnsi" w:hAnsiTheme="minorHAnsi" w:cstheme="minorHAnsi"/>
                <w:color w:val="000000"/>
                <w:sz w:val="22"/>
                <w:szCs w:val="22"/>
                <w:lang w:val="en-AU"/>
              </w:rPr>
              <w:t>Demonstrates a commitment to quality, continuous improvement, occupational health and safety and risk management.</w:t>
            </w:r>
          </w:p>
          <w:p w14:paraId="6DB8F8BD" w14:textId="77777777" w:rsidR="00804B46" w:rsidRPr="00EC4FFB" w:rsidRDefault="00EC4FFB" w:rsidP="00804B46">
            <w:pPr>
              <w:numPr>
                <w:ilvl w:val="0"/>
                <w:numId w:val="3"/>
              </w:numPr>
              <w:spacing w:after="80"/>
              <w:rPr>
                <w:rFonts w:ascii="Arial Narrow" w:hAnsi="Arial Narrow"/>
              </w:rPr>
            </w:pPr>
            <w:r>
              <w:rPr>
                <w:rFonts w:asciiTheme="minorHAnsi" w:eastAsiaTheme="minorHAnsi" w:hAnsiTheme="minorHAnsi" w:cstheme="minorHAnsi"/>
                <w:color w:val="000000"/>
                <w:sz w:val="22"/>
                <w:szCs w:val="22"/>
                <w:lang w:val="en-AU"/>
              </w:rPr>
              <w:t>Provide analytical support over a number of projects.</w:t>
            </w:r>
          </w:p>
          <w:p w14:paraId="6C2B5009" w14:textId="77777777" w:rsidR="009B67A9" w:rsidRPr="00EC4FFB" w:rsidRDefault="00EC4FFB" w:rsidP="00EC4FFB">
            <w:pPr>
              <w:numPr>
                <w:ilvl w:val="0"/>
                <w:numId w:val="3"/>
              </w:numPr>
              <w:spacing w:after="80"/>
              <w:rPr>
                <w:rFonts w:ascii="Arial Narrow" w:hAnsi="Arial Narrow"/>
              </w:rPr>
            </w:pPr>
            <w:r>
              <w:rPr>
                <w:rFonts w:asciiTheme="minorHAnsi" w:eastAsiaTheme="minorHAnsi" w:hAnsiTheme="minorHAnsi" w:cstheme="minorHAnsi"/>
                <w:color w:val="000000"/>
                <w:sz w:val="22"/>
                <w:szCs w:val="22"/>
                <w:lang w:val="en-AU"/>
              </w:rPr>
              <w:t>Production of reports which are statistically sound and to develop and measure the impact of programs/initiatives.</w:t>
            </w:r>
          </w:p>
        </w:tc>
      </w:tr>
    </w:tbl>
    <w:p w14:paraId="273E687C" w14:textId="77777777" w:rsidR="009B67A9" w:rsidRDefault="009B67A9"/>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8031"/>
      </w:tblGrid>
      <w:tr w:rsidR="009B67A9" w:rsidRPr="0060788A" w14:paraId="6E29C6AA" w14:textId="77777777" w:rsidTr="00395FB7">
        <w:tc>
          <w:tcPr>
            <w:tcW w:w="2318" w:type="dxa"/>
            <w:tcBorders>
              <w:top w:val="single" w:sz="4" w:space="0" w:color="auto"/>
              <w:left w:val="single" w:sz="4" w:space="0" w:color="auto"/>
              <w:bottom w:val="single" w:sz="4" w:space="0" w:color="auto"/>
              <w:right w:val="single" w:sz="4" w:space="0" w:color="auto"/>
            </w:tcBorders>
            <w:shd w:val="clear" w:color="auto" w:fill="F3F8C4"/>
          </w:tcPr>
          <w:p w14:paraId="203B1B17" w14:textId="77777777" w:rsidR="009B67A9" w:rsidRPr="00812B84" w:rsidRDefault="009B67A9" w:rsidP="008A16C2">
            <w:pPr>
              <w:spacing w:before="60" w:after="60"/>
              <w:rPr>
                <w:rFonts w:asciiTheme="minorHAnsi" w:hAnsiTheme="minorHAnsi" w:cstheme="minorHAnsi"/>
                <w:b/>
                <w:sz w:val="28"/>
                <w:szCs w:val="28"/>
              </w:rPr>
            </w:pPr>
            <w:r w:rsidRPr="00812B84">
              <w:rPr>
                <w:rFonts w:asciiTheme="minorHAnsi" w:hAnsiTheme="minorHAnsi" w:cstheme="minorHAnsi"/>
                <w:sz w:val="28"/>
                <w:szCs w:val="28"/>
              </w:rPr>
              <w:br w:type="page"/>
            </w:r>
            <w:r w:rsidRPr="00812B84">
              <w:rPr>
                <w:rFonts w:asciiTheme="minorHAnsi" w:hAnsiTheme="minorHAnsi" w:cstheme="minorHAnsi"/>
                <w:b/>
                <w:sz w:val="28"/>
                <w:szCs w:val="28"/>
              </w:rPr>
              <w:t>Key Result Area 1</w:t>
            </w:r>
          </w:p>
        </w:tc>
        <w:tc>
          <w:tcPr>
            <w:tcW w:w="8031" w:type="dxa"/>
            <w:tcBorders>
              <w:top w:val="single" w:sz="4" w:space="0" w:color="auto"/>
              <w:left w:val="single" w:sz="4" w:space="0" w:color="auto"/>
              <w:bottom w:val="single" w:sz="4" w:space="0" w:color="auto"/>
              <w:right w:val="single" w:sz="4" w:space="0" w:color="auto"/>
            </w:tcBorders>
            <w:shd w:val="clear" w:color="auto" w:fill="F3F8C4"/>
          </w:tcPr>
          <w:p w14:paraId="168B041F" w14:textId="77777777" w:rsidR="009B67A9" w:rsidRPr="00812B84" w:rsidRDefault="009B67A9" w:rsidP="008A16C2">
            <w:pPr>
              <w:spacing w:before="60" w:after="60"/>
              <w:jc w:val="center"/>
              <w:rPr>
                <w:rFonts w:asciiTheme="minorHAnsi" w:hAnsiTheme="minorHAnsi" w:cstheme="minorHAnsi"/>
                <w:b/>
                <w:sz w:val="28"/>
                <w:szCs w:val="28"/>
              </w:rPr>
            </w:pPr>
            <w:r w:rsidRPr="00812B84">
              <w:rPr>
                <w:rFonts w:asciiTheme="minorHAnsi" w:hAnsiTheme="minorHAnsi" w:cstheme="minorHAnsi"/>
                <w:b/>
                <w:sz w:val="28"/>
                <w:szCs w:val="28"/>
              </w:rPr>
              <w:t>Demonstrates a commitment to quality, continuous improvement, occupational health and safety and risk management</w:t>
            </w:r>
          </w:p>
        </w:tc>
      </w:tr>
      <w:tr w:rsidR="009B67A9" w:rsidRPr="0060788A" w14:paraId="757CD80B" w14:textId="77777777" w:rsidTr="009B67A9">
        <w:tc>
          <w:tcPr>
            <w:tcW w:w="2318" w:type="dxa"/>
            <w:tcBorders>
              <w:top w:val="single" w:sz="4" w:space="0" w:color="auto"/>
              <w:left w:val="single" w:sz="4" w:space="0" w:color="auto"/>
              <w:bottom w:val="single" w:sz="4" w:space="0" w:color="auto"/>
              <w:right w:val="single" w:sz="4" w:space="0" w:color="auto"/>
            </w:tcBorders>
            <w:shd w:val="clear" w:color="auto" w:fill="auto"/>
          </w:tcPr>
          <w:p w14:paraId="53B76ACE" w14:textId="77777777" w:rsidR="009B67A9" w:rsidRPr="00812B84" w:rsidRDefault="009B67A9" w:rsidP="008A16C2">
            <w:pPr>
              <w:spacing w:before="60" w:after="60"/>
              <w:rPr>
                <w:rFonts w:asciiTheme="minorHAnsi" w:hAnsiTheme="minorHAnsi" w:cstheme="minorHAnsi"/>
                <w:b/>
                <w:sz w:val="28"/>
                <w:szCs w:val="28"/>
              </w:rPr>
            </w:pPr>
            <w:r w:rsidRPr="00812B84">
              <w:rPr>
                <w:rFonts w:asciiTheme="minorHAnsi" w:hAnsiTheme="minorHAnsi" w:cstheme="minorHAnsi"/>
                <w:b/>
                <w:sz w:val="28"/>
                <w:szCs w:val="28"/>
              </w:rPr>
              <w:t>Key Result Indicators</w:t>
            </w:r>
          </w:p>
        </w:tc>
        <w:tc>
          <w:tcPr>
            <w:tcW w:w="8031" w:type="dxa"/>
            <w:tcBorders>
              <w:top w:val="single" w:sz="4" w:space="0" w:color="auto"/>
              <w:left w:val="single" w:sz="4" w:space="0" w:color="auto"/>
              <w:bottom w:val="single" w:sz="4" w:space="0" w:color="auto"/>
              <w:right w:val="single" w:sz="4" w:space="0" w:color="auto"/>
            </w:tcBorders>
            <w:shd w:val="clear" w:color="auto" w:fill="auto"/>
          </w:tcPr>
          <w:p w14:paraId="3E895533" w14:textId="77777777" w:rsidR="009B67A9" w:rsidRPr="00E72F5F" w:rsidRDefault="009B67A9" w:rsidP="00CB0C39">
            <w:pPr>
              <w:numPr>
                <w:ilvl w:val="1"/>
                <w:numId w:val="4"/>
              </w:numPr>
              <w:ind w:left="357" w:hanging="357"/>
              <w:rPr>
                <w:rFonts w:asciiTheme="minorHAnsi" w:hAnsiTheme="minorHAnsi" w:cstheme="minorHAnsi"/>
                <w:sz w:val="22"/>
                <w:szCs w:val="22"/>
              </w:rPr>
            </w:pPr>
            <w:r w:rsidRPr="00E72F5F">
              <w:rPr>
                <w:rFonts w:asciiTheme="minorHAnsi" w:hAnsiTheme="minorHAnsi" w:cstheme="minorHAnsi"/>
                <w:sz w:val="22"/>
                <w:szCs w:val="22"/>
              </w:rPr>
              <w:t>Take responsibility for own health and safety and that of others who may be affected by workplace conduct.</w:t>
            </w:r>
          </w:p>
          <w:p w14:paraId="359662BD" w14:textId="77777777" w:rsidR="009B67A9" w:rsidRPr="00E72F5F" w:rsidRDefault="009B67A9" w:rsidP="00CB0C39">
            <w:pPr>
              <w:numPr>
                <w:ilvl w:val="1"/>
                <w:numId w:val="4"/>
              </w:numPr>
              <w:ind w:left="357" w:hanging="357"/>
              <w:rPr>
                <w:rFonts w:asciiTheme="minorHAnsi" w:hAnsiTheme="minorHAnsi" w:cstheme="minorHAnsi"/>
                <w:sz w:val="22"/>
                <w:szCs w:val="22"/>
              </w:rPr>
            </w:pPr>
            <w:r w:rsidRPr="00E72F5F">
              <w:rPr>
                <w:rFonts w:asciiTheme="minorHAnsi" w:hAnsiTheme="minorHAnsi" w:cstheme="minorHAnsi"/>
                <w:sz w:val="22"/>
                <w:szCs w:val="22"/>
              </w:rPr>
              <w:t xml:space="preserve">Ensure that all hazardous conditions, injuries and near misses are reported immediately to the </w:t>
            </w:r>
            <w:r w:rsidR="006E280C" w:rsidRPr="00E72F5F">
              <w:rPr>
                <w:rFonts w:asciiTheme="minorHAnsi" w:hAnsiTheme="minorHAnsi" w:cstheme="minorHAnsi"/>
                <w:sz w:val="22"/>
                <w:szCs w:val="22"/>
              </w:rPr>
              <w:t>Quality</w:t>
            </w:r>
            <w:r w:rsidRPr="00E72F5F">
              <w:rPr>
                <w:rFonts w:asciiTheme="minorHAnsi" w:hAnsiTheme="minorHAnsi" w:cstheme="minorHAnsi"/>
                <w:sz w:val="22"/>
                <w:szCs w:val="22"/>
              </w:rPr>
              <w:t xml:space="preserve"> Coordinator</w:t>
            </w:r>
            <w:r w:rsidR="004151B3" w:rsidRPr="00E72F5F">
              <w:rPr>
                <w:rFonts w:asciiTheme="minorHAnsi" w:hAnsiTheme="minorHAnsi" w:cstheme="minorHAnsi"/>
                <w:sz w:val="22"/>
                <w:szCs w:val="22"/>
              </w:rPr>
              <w:t>.</w:t>
            </w:r>
          </w:p>
          <w:p w14:paraId="6556C500" w14:textId="77777777" w:rsidR="009B67A9" w:rsidRPr="00E72F5F" w:rsidRDefault="009B67A9" w:rsidP="00CB0C39">
            <w:pPr>
              <w:numPr>
                <w:ilvl w:val="1"/>
                <w:numId w:val="4"/>
              </w:numPr>
              <w:ind w:left="357" w:hanging="357"/>
              <w:rPr>
                <w:rFonts w:asciiTheme="minorHAnsi" w:hAnsiTheme="minorHAnsi" w:cstheme="minorHAnsi"/>
                <w:sz w:val="22"/>
                <w:szCs w:val="22"/>
              </w:rPr>
            </w:pPr>
            <w:r w:rsidRPr="00E72F5F">
              <w:rPr>
                <w:rFonts w:asciiTheme="minorHAnsi" w:hAnsiTheme="minorHAnsi" w:cstheme="minorHAnsi"/>
                <w:sz w:val="22"/>
                <w:szCs w:val="22"/>
              </w:rPr>
              <w:t xml:space="preserve">Participate in meetings, training and other health and safety activities as deemed necessary by </w:t>
            </w:r>
            <w:r w:rsidR="006E280C" w:rsidRPr="00E72F5F">
              <w:rPr>
                <w:rFonts w:asciiTheme="minorHAnsi" w:hAnsiTheme="minorHAnsi" w:cstheme="minorHAnsi"/>
                <w:sz w:val="22"/>
                <w:szCs w:val="22"/>
              </w:rPr>
              <w:t>Eastern Palliative Care</w:t>
            </w:r>
            <w:r w:rsidRPr="00E72F5F">
              <w:rPr>
                <w:rFonts w:asciiTheme="minorHAnsi" w:hAnsiTheme="minorHAnsi" w:cstheme="minorHAnsi"/>
                <w:sz w:val="22"/>
                <w:szCs w:val="22"/>
              </w:rPr>
              <w:t>.</w:t>
            </w:r>
          </w:p>
          <w:p w14:paraId="4CD070C2" w14:textId="77777777" w:rsidR="009B67A9" w:rsidRPr="00BA182E" w:rsidRDefault="009B67A9" w:rsidP="00CB0C39">
            <w:pPr>
              <w:numPr>
                <w:ilvl w:val="1"/>
                <w:numId w:val="4"/>
              </w:numPr>
              <w:ind w:left="357" w:hanging="357"/>
              <w:rPr>
                <w:rFonts w:ascii="Arial Narrow" w:hAnsi="Arial Narrow"/>
                <w:sz w:val="22"/>
                <w:szCs w:val="22"/>
              </w:rPr>
            </w:pPr>
            <w:r w:rsidRPr="00E72F5F">
              <w:rPr>
                <w:rFonts w:asciiTheme="minorHAnsi" w:hAnsiTheme="minorHAnsi" w:cstheme="minorHAnsi"/>
                <w:sz w:val="22"/>
                <w:szCs w:val="22"/>
              </w:rPr>
              <w:t>Demonstrated ability to foster and collaborate in the development and achievement of best practice and quality processes.</w:t>
            </w:r>
          </w:p>
          <w:p w14:paraId="7382A18F" w14:textId="77777777" w:rsidR="00BA182E" w:rsidRPr="00B65F19" w:rsidRDefault="00BA182E" w:rsidP="00BA182E">
            <w:pPr>
              <w:ind w:left="357"/>
              <w:rPr>
                <w:rFonts w:ascii="Arial Narrow" w:hAnsi="Arial Narrow"/>
                <w:sz w:val="22"/>
                <w:szCs w:val="22"/>
              </w:rPr>
            </w:pPr>
          </w:p>
        </w:tc>
      </w:tr>
      <w:tr w:rsidR="009B67A9" w:rsidRPr="0060788A" w14:paraId="15784788" w14:textId="77777777" w:rsidTr="00395FB7">
        <w:tc>
          <w:tcPr>
            <w:tcW w:w="2318" w:type="dxa"/>
            <w:shd w:val="clear" w:color="auto" w:fill="F3F8C4"/>
          </w:tcPr>
          <w:p w14:paraId="517909D1" w14:textId="77777777" w:rsidR="009B67A9" w:rsidRPr="00812B84" w:rsidRDefault="009B67A9" w:rsidP="008A16C2">
            <w:pPr>
              <w:spacing w:before="60" w:after="60"/>
              <w:rPr>
                <w:rFonts w:asciiTheme="minorHAnsi" w:hAnsiTheme="minorHAnsi" w:cstheme="minorHAnsi"/>
                <w:b/>
                <w:sz w:val="28"/>
                <w:szCs w:val="28"/>
              </w:rPr>
            </w:pPr>
            <w:r w:rsidRPr="00812B84">
              <w:rPr>
                <w:rFonts w:asciiTheme="minorHAnsi" w:hAnsiTheme="minorHAnsi" w:cstheme="minorHAnsi"/>
                <w:b/>
                <w:sz w:val="28"/>
                <w:szCs w:val="28"/>
              </w:rPr>
              <w:t>Key Result Area 2</w:t>
            </w:r>
          </w:p>
        </w:tc>
        <w:tc>
          <w:tcPr>
            <w:tcW w:w="8031" w:type="dxa"/>
            <w:shd w:val="clear" w:color="auto" w:fill="F3F8C4"/>
          </w:tcPr>
          <w:p w14:paraId="2B7A7F74" w14:textId="77777777" w:rsidR="009B67A9" w:rsidRPr="00804B46" w:rsidRDefault="00EC4FFB" w:rsidP="003C1ED6">
            <w:pPr>
              <w:spacing w:before="60" w:after="60"/>
              <w:jc w:val="center"/>
              <w:rPr>
                <w:rFonts w:asciiTheme="minorHAnsi" w:hAnsiTheme="minorHAnsi" w:cstheme="minorHAnsi"/>
                <w:b/>
                <w:sz w:val="28"/>
                <w:szCs w:val="28"/>
              </w:rPr>
            </w:pPr>
            <w:r>
              <w:rPr>
                <w:rFonts w:asciiTheme="minorHAnsi" w:eastAsiaTheme="minorHAnsi" w:hAnsiTheme="minorHAnsi" w:cstheme="minorHAnsi"/>
                <w:b/>
                <w:color w:val="000000"/>
                <w:sz w:val="28"/>
                <w:szCs w:val="28"/>
                <w:lang w:val="en-AU"/>
              </w:rPr>
              <w:t>Provide analytical support over a number of projects</w:t>
            </w:r>
          </w:p>
        </w:tc>
      </w:tr>
      <w:tr w:rsidR="009B67A9" w:rsidRPr="0060788A" w14:paraId="46FBFF56" w14:textId="77777777" w:rsidTr="009B67A9">
        <w:tc>
          <w:tcPr>
            <w:tcW w:w="2318" w:type="dxa"/>
            <w:shd w:val="clear" w:color="auto" w:fill="auto"/>
          </w:tcPr>
          <w:p w14:paraId="425CDD56" w14:textId="77777777" w:rsidR="009B67A9" w:rsidRPr="00812B84" w:rsidRDefault="009B67A9" w:rsidP="008A16C2">
            <w:pPr>
              <w:spacing w:before="60" w:after="60"/>
              <w:rPr>
                <w:rFonts w:asciiTheme="minorHAnsi" w:hAnsiTheme="minorHAnsi" w:cstheme="minorHAnsi"/>
                <w:b/>
                <w:sz w:val="28"/>
                <w:szCs w:val="28"/>
              </w:rPr>
            </w:pPr>
            <w:r w:rsidRPr="00812B84">
              <w:rPr>
                <w:rFonts w:asciiTheme="minorHAnsi" w:hAnsiTheme="minorHAnsi" w:cstheme="minorHAnsi"/>
                <w:b/>
                <w:sz w:val="28"/>
                <w:szCs w:val="28"/>
              </w:rPr>
              <w:t>Key Result Indicators</w:t>
            </w:r>
          </w:p>
        </w:tc>
        <w:tc>
          <w:tcPr>
            <w:tcW w:w="8031" w:type="dxa"/>
            <w:shd w:val="clear" w:color="auto" w:fill="auto"/>
          </w:tcPr>
          <w:p w14:paraId="7FA3F72B" w14:textId="77777777" w:rsidR="00EC4FFB" w:rsidRDefault="00EC4FFB" w:rsidP="00804B46">
            <w:pPr>
              <w:pStyle w:val="Default"/>
              <w:numPr>
                <w:ilvl w:val="0"/>
                <w:numId w:val="16"/>
              </w:numPr>
              <w:rPr>
                <w:rFonts w:asciiTheme="minorHAnsi" w:hAnsiTheme="minorHAnsi" w:cstheme="minorHAnsi"/>
                <w:sz w:val="22"/>
                <w:szCs w:val="22"/>
              </w:rPr>
            </w:pPr>
            <w:r>
              <w:rPr>
                <w:rFonts w:asciiTheme="minorHAnsi" w:hAnsiTheme="minorHAnsi" w:cstheme="minorHAnsi"/>
                <w:sz w:val="22"/>
                <w:szCs w:val="22"/>
              </w:rPr>
              <w:t>Responsible for the provision of statistical support in the analysis and reporting of data from registries including the organisation’s Client Information Management System (</w:t>
            </w:r>
            <w:proofErr w:type="spellStart"/>
            <w:r>
              <w:rPr>
                <w:rFonts w:asciiTheme="minorHAnsi" w:hAnsiTheme="minorHAnsi" w:cstheme="minorHAnsi"/>
                <w:sz w:val="22"/>
                <w:szCs w:val="22"/>
              </w:rPr>
              <w:t>PalCare</w:t>
            </w:r>
            <w:proofErr w:type="spellEnd"/>
            <w:r>
              <w:rPr>
                <w:rFonts w:asciiTheme="minorHAnsi" w:hAnsiTheme="minorHAnsi" w:cstheme="minorHAnsi"/>
                <w:sz w:val="22"/>
                <w:szCs w:val="22"/>
              </w:rPr>
              <w:t xml:space="preserve">) in an accurate and timely manner. </w:t>
            </w:r>
          </w:p>
          <w:p w14:paraId="504E1F09" w14:textId="77777777" w:rsidR="00804B46" w:rsidRDefault="00804B46" w:rsidP="00804B46">
            <w:pPr>
              <w:pStyle w:val="Default"/>
              <w:numPr>
                <w:ilvl w:val="0"/>
                <w:numId w:val="16"/>
              </w:numPr>
              <w:rPr>
                <w:rFonts w:asciiTheme="minorHAnsi" w:hAnsiTheme="minorHAnsi" w:cstheme="minorHAnsi"/>
                <w:sz w:val="22"/>
                <w:szCs w:val="22"/>
              </w:rPr>
            </w:pPr>
            <w:r>
              <w:rPr>
                <w:rFonts w:asciiTheme="minorHAnsi" w:hAnsiTheme="minorHAnsi" w:cstheme="minorHAnsi"/>
                <w:sz w:val="22"/>
                <w:szCs w:val="22"/>
              </w:rPr>
              <w:t xml:space="preserve"> </w:t>
            </w:r>
            <w:r w:rsidR="00011BED">
              <w:rPr>
                <w:rFonts w:asciiTheme="minorHAnsi" w:hAnsiTheme="minorHAnsi" w:cstheme="minorHAnsi"/>
                <w:sz w:val="22"/>
                <w:szCs w:val="22"/>
              </w:rPr>
              <w:t xml:space="preserve">Work collaboratively with the </w:t>
            </w:r>
            <w:proofErr w:type="spellStart"/>
            <w:r w:rsidR="00055426">
              <w:rPr>
                <w:rFonts w:asciiTheme="minorHAnsi" w:hAnsiTheme="minorHAnsi" w:cstheme="minorHAnsi"/>
                <w:sz w:val="22"/>
                <w:szCs w:val="22"/>
              </w:rPr>
              <w:t>PalCare</w:t>
            </w:r>
            <w:proofErr w:type="spellEnd"/>
            <w:r w:rsidR="00011BED">
              <w:rPr>
                <w:rFonts w:asciiTheme="minorHAnsi" w:hAnsiTheme="minorHAnsi" w:cstheme="minorHAnsi"/>
                <w:sz w:val="22"/>
                <w:szCs w:val="22"/>
              </w:rPr>
              <w:t xml:space="preserve"> Administrator and other Managers and Project Officers to achieve high level outcomes. </w:t>
            </w:r>
          </w:p>
          <w:p w14:paraId="60098432" w14:textId="77777777" w:rsidR="00804B46" w:rsidRDefault="00804B46" w:rsidP="00804B46">
            <w:pPr>
              <w:pStyle w:val="Default"/>
              <w:numPr>
                <w:ilvl w:val="0"/>
                <w:numId w:val="16"/>
              </w:numPr>
              <w:rPr>
                <w:rFonts w:asciiTheme="minorHAnsi" w:hAnsiTheme="minorHAnsi" w:cstheme="minorHAnsi"/>
                <w:sz w:val="22"/>
                <w:szCs w:val="22"/>
              </w:rPr>
            </w:pPr>
            <w:r w:rsidRPr="00804B46">
              <w:rPr>
                <w:rFonts w:asciiTheme="minorHAnsi" w:hAnsiTheme="minorHAnsi" w:cstheme="minorHAnsi"/>
                <w:sz w:val="22"/>
                <w:szCs w:val="22"/>
              </w:rPr>
              <w:t xml:space="preserve">Demonstrate well-developed communication and interpersonal skills in the dealing with all key stakeholders. </w:t>
            </w:r>
          </w:p>
          <w:p w14:paraId="68214987" w14:textId="77777777" w:rsidR="00804B46" w:rsidRDefault="00804B46" w:rsidP="00804B46">
            <w:pPr>
              <w:pStyle w:val="Default"/>
              <w:numPr>
                <w:ilvl w:val="0"/>
                <w:numId w:val="16"/>
              </w:numPr>
              <w:rPr>
                <w:rFonts w:asciiTheme="minorHAnsi" w:hAnsiTheme="minorHAnsi" w:cstheme="minorHAnsi"/>
                <w:sz w:val="22"/>
                <w:szCs w:val="22"/>
              </w:rPr>
            </w:pPr>
            <w:r w:rsidRPr="00804B46">
              <w:rPr>
                <w:rFonts w:asciiTheme="minorHAnsi" w:hAnsiTheme="minorHAnsi" w:cstheme="minorHAnsi"/>
                <w:sz w:val="22"/>
                <w:szCs w:val="22"/>
              </w:rPr>
              <w:t xml:space="preserve">Ensure strict confidentiality of records, meeting discussions and </w:t>
            </w:r>
            <w:r w:rsidR="00011BED">
              <w:rPr>
                <w:rFonts w:asciiTheme="minorHAnsi" w:hAnsiTheme="minorHAnsi" w:cstheme="minorHAnsi"/>
                <w:sz w:val="22"/>
                <w:szCs w:val="22"/>
              </w:rPr>
              <w:t>data collection.</w:t>
            </w:r>
          </w:p>
          <w:p w14:paraId="600EB84D" w14:textId="77777777" w:rsidR="00055426" w:rsidRDefault="00055426" w:rsidP="00804B46">
            <w:pPr>
              <w:pStyle w:val="Default"/>
              <w:numPr>
                <w:ilvl w:val="0"/>
                <w:numId w:val="16"/>
              </w:numPr>
              <w:rPr>
                <w:rFonts w:asciiTheme="minorHAnsi" w:hAnsiTheme="minorHAnsi" w:cstheme="minorHAnsi"/>
                <w:sz w:val="22"/>
                <w:szCs w:val="22"/>
              </w:rPr>
            </w:pPr>
            <w:r>
              <w:rPr>
                <w:rFonts w:asciiTheme="minorHAnsi" w:hAnsiTheme="minorHAnsi" w:cstheme="minorHAnsi"/>
                <w:sz w:val="22"/>
                <w:szCs w:val="22"/>
              </w:rPr>
              <w:t>Provide advice and support to CEO and Managers to ensure we make the best use of the data we have available.</w:t>
            </w:r>
          </w:p>
          <w:p w14:paraId="2FC15045" w14:textId="77777777" w:rsidR="00055426" w:rsidRDefault="00055426" w:rsidP="00804B46">
            <w:pPr>
              <w:pStyle w:val="Default"/>
              <w:numPr>
                <w:ilvl w:val="0"/>
                <w:numId w:val="16"/>
              </w:numPr>
              <w:rPr>
                <w:rFonts w:asciiTheme="minorHAnsi" w:hAnsiTheme="minorHAnsi" w:cstheme="minorHAnsi"/>
                <w:sz w:val="22"/>
                <w:szCs w:val="22"/>
              </w:rPr>
            </w:pPr>
            <w:r>
              <w:rPr>
                <w:rFonts w:asciiTheme="minorHAnsi" w:hAnsiTheme="minorHAnsi" w:cstheme="minorHAnsi"/>
                <w:sz w:val="22"/>
                <w:szCs w:val="22"/>
              </w:rPr>
              <w:lastRenderedPageBreak/>
              <w:t>Assist the CEO and Managers with literature reviews when establishing quality or research projects.</w:t>
            </w:r>
          </w:p>
          <w:p w14:paraId="263128EE" w14:textId="77777777" w:rsidR="00804B46" w:rsidRPr="00804B46" w:rsidRDefault="00804B46" w:rsidP="00435EA7">
            <w:pPr>
              <w:pStyle w:val="Default"/>
              <w:ind w:left="720"/>
              <w:rPr>
                <w:rFonts w:asciiTheme="minorHAnsi" w:hAnsiTheme="minorHAnsi" w:cstheme="minorHAnsi"/>
                <w:sz w:val="22"/>
                <w:szCs w:val="22"/>
              </w:rPr>
            </w:pPr>
          </w:p>
        </w:tc>
      </w:tr>
      <w:tr w:rsidR="009B67A9" w:rsidRPr="0060788A" w14:paraId="279A6E07" w14:textId="77777777" w:rsidTr="00395FB7">
        <w:tc>
          <w:tcPr>
            <w:tcW w:w="2318" w:type="dxa"/>
            <w:shd w:val="clear" w:color="auto" w:fill="F3F8C4"/>
          </w:tcPr>
          <w:p w14:paraId="4C7F6E04" w14:textId="77777777" w:rsidR="009B67A9" w:rsidRPr="00812B84" w:rsidRDefault="009B67A9" w:rsidP="008A16C2">
            <w:pPr>
              <w:spacing w:before="60" w:after="60"/>
              <w:rPr>
                <w:rFonts w:asciiTheme="minorHAnsi" w:hAnsiTheme="minorHAnsi" w:cstheme="minorHAnsi"/>
                <w:b/>
                <w:sz w:val="28"/>
                <w:szCs w:val="28"/>
              </w:rPr>
            </w:pPr>
            <w:r w:rsidRPr="00812B84">
              <w:rPr>
                <w:rFonts w:asciiTheme="minorHAnsi" w:hAnsiTheme="minorHAnsi" w:cstheme="minorHAnsi"/>
                <w:b/>
                <w:sz w:val="28"/>
                <w:szCs w:val="28"/>
              </w:rPr>
              <w:lastRenderedPageBreak/>
              <w:t>Key Result Area 3</w:t>
            </w:r>
          </w:p>
        </w:tc>
        <w:tc>
          <w:tcPr>
            <w:tcW w:w="8031" w:type="dxa"/>
            <w:shd w:val="clear" w:color="auto" w:fill="F3F8C4"/>
          </w:tcPr>
          <w:p w14:paraId="4FAC7F3F" w14:textId="77777777" w:rsidR="009B67A9" w:rsidRPr="00011BED" w:rsidRDefault="00011BED" w:rsidP="00812B84">
            <w:pPr>
              <w:spacing w:after="80"/>
              <w:jc w:val="center"/>
              <w:rPr>
                <w:rFonts w:asciiTheme="minorHAnsi" w:hAnsiTheme="minorHAnsi" w:cstheme="minorHAnsi"/>
                <w:b/>
                <w:sz w:val="28"/>
                <w:szCs w:val="28"/>
              </w:rPr>
            </w:pPr>
            <w:r w:rsidRPr="00011BED">
              <w:rPr>
                <w:rFonts w:asciiTheme="minorHAnsi" w:eastAsiaTheme="minorHAnsi" w:hAnsiTheme="minorHAnsi" w:cstheme="minorHAnsi"/>
                <w:b/>
                <w:color w:val="000000"/>
                <w:sz w:val="28"/>
                <w:szCs w:val="28"/>
                <w:lang w:val="en-AU"/>
              </w:rPr>
              <w:t>Production of reports which are statistically sound and to develop and measure the impact of programs/initiatives.</w:t>
            </w:r>
          </w:p>
        </w:tc>
      </w:tr>
      <w:tr w:rsidR="009B67A9" w:rsidRPr="0060788A" w14:paraId="383A61C5" w14:textId="77777777" w:rsidTr="009B67A9">
        <w:tc>
          <w:tcPr>
            <w:tcW w:w="2318" w:type="dxa"/>
            <w:shd w:val="clear" w:color="auto" w:fill="auto"/>
          </w:tcPr>
          <w:p w14:paraId="6A7BC9B9" w14:textId="77777777" w:rsidR="009B67A9" w:rsidRPr="00812B84" w:rsidRDefault="009B67A9" w:rsidP="008A16C2">
            <w:pPr>
              <w:spacing w:before="60" w:after="60"/>
              <w:rPr>
                <w:rFonts w:asciiTheme="minorHAnsi" w:hAnsiTheme="minorHAnsi" w:cstheme="minorHAnsi"/>
                <w:b/>
                <w:sz w:val="28"/>
                <w:szCs w:val="28"/>
              </w:rPr>
            </w:pPr>
            <w:r w:rsidRPr="00812B84">
              <w:rPr>
                <w:rFonts w:asciiTheme="minorHAnsi" w:hAnsiTheme="minorHAnsi" w:cstheme="minorHAnsi"/>
                <w:b/>
                <w:sz w:val="28"/>
                <w:szCs w:val="28"/>
              </w:rPr>
              <w:t>Key Result Indicators</w:t>
            </w:r>
          </w:p>
        </w:tc>
        <w:tc>
          <w:tcPr>
            <w:tcW w:w="8031" w:type="dxa"/>
            <w:shd w:val="clear" w:color="auto" w:fill="auto"/>
          </w:tcPr>
          <w:p w14:paraId="29F6AD7A" w14:textId="77777777" w:rsidR="00435EA7" w:rsidRDefault="00011BED" w:rsidP="00435EA7">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 xml:space="preserve">Provide and facilitate interpretation of data with experimental design. </w:t>
            </w:r>
          </w:p>
          <w:p w14:paraId="7769F10A" w14:textId="77777777" w:rsidR="00011BED" w:rsidRDefault="00011BED" w:rsidP="00435EA7">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Establish data analysis pipelines,</w:t>
            </w:r>
          </w:p>
          <w:p w14:paraId="36511707" w14:textId="77777777" w:rsidR="00011BED" w:rsidRDefault="00011BED" w:rsidP="00435EA7">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Develop novel analysis algorithms.</w:t>
            </w:r>
          </w:p>
          <w:p w14:paraId="5FED2DE6" w14:textId="77777777" w:rsidR="00011BED" w:rsidRDefault="00011BED" w:rsidP="00435EA7">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 xml:space="preserve">Introduce and implement established protocols and eventually transform experimental data into interpretable knowledge that may enable findings that contribute to improving clinical outcomes. </w:t>
            </w:r>
          </w:p>
          <w:p w14:paraId="2906BFE6" w14:textId="77777777" w:rsidR="00055426" w:rsidRDefault="00055426" w:rsidP="00435EA7">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Provide advice and support in relation to research approved  by EPC Ethics Committee</w:t>
            </w:r>
          </w:p>
          <w:p w14:paraId="02FCB140" w14:textId="77777777" w:rsidR="00055426" w:rsidRPr="00055426" w:rsidRDefault="00055426" w:rsidP="00055426">
            <w:pPr>
              <w:pStyle w:val="Default"/>
              <w:numPr>
                <w:ilvl w:val="0"/>
                <w:numId w:val="17"/>
              </w:numPr>
              <w:rPr>
                <w:rFonts w:asciiTheme="minorHAnsi" w:hAnsiTheme="minorHAnsi" w:cstheme="minorHAnsi"/>
                <w:sz w:val="22"/>
                <w:szCs w:val="22"/>
              </w:rPr>
            </w:pPr>
            <w:r w:rsidRPr="00055426">
              <w:rPr>
                <w:rFonts w:asciiTheme="minorHAnsi" w:hAnsiTheme="minorHAnsi" w:cstheme="minorHAnsi"/>
                <w:sz w:val="22"/>
                <w:szCs w:val="22"/>
              </w:rPr>
              <w:t>Assist staff in understanding how data can be utilised to support quality activities and research</w:t>
            </w:r>
          </w:p>
          <w:p w14:paraId="33289DCC" w14:textId="77777777" w:rsidR="00435EA7" w:rsidRPr="00435EA7" w:rsidRDefault="00435EA7" w:rsidP="00011BED">
            <w:pPr>
              <w:pStyle w:val="Default"/>
              <w:ind w:left="720"/>
              <w:rPr>
                <w:rFonts w:asciiTheme="minorHAnsi" w:hAnsiTheme="minorHAnsi" w:cstheme="minorHAnsi"/>
                <w:sz w:val="22"/>
                <w:szCs w:val="22"/>
              </w:rPr>
            </w:pPr>
          </w:p>
        </w:tc>
      </w:tr>
    </w:tbl>
    <w:p w14:paraId="32C59810" w14:textId="77777777" w:rsidR="00BA182E" w:rsidRDefault="00BA182E" w:rsidP="009B67A9"/>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701"/>
        <w:gridCol w:w="6379"/>
      </w:tblGrid>
      <w:tr w:rsidR="009B67A9" w:rsidRPr="00DC08C7" w14:paraId="40A85DDF" w14:textId="77777777" w:rsidTr="00395FB7">
        <w:trPr>
          <w:trHeight w:val="437"/>
        </w:trPr>
        <w:tc>
          <w:tcPr>
            <w:tcW w:w="2269" w:type="dxa"/>
            <w:vMerge w:val="restart"/>
            <w:shd w:val="clear" w:color="auto" w:fill="F3F8C4"/>
          </w:tcPr>
          <w:p w14:paraId="61675AF4" w14:textId="77777777" w:rsidR="009B67A9" w:rsidRPr="00812B84" w:rsidRDefault="009B67A9" w:rsidP="008A16C2">
            <w:pPr>
              <w:spacing w:before="60" w:after="60"/>
              <w:rPr>
                <w:rFonts w:asciiTheme="minorHAnsi" w:hAnsiTheme="minorHAnsi" w:cstheme="minorHAnsi"/>
                <w:b/>
                <w:sz w:val="28"/>
                <w:szCs w:val="28"/>
              </w:rPr>
            </w:pPr>
            <w:r w:rsidRPr="00812B84">
              <w:rPr>
                <w:rFonts w:asciiTheme="minorHAnsi" w:hAnsiTheme="minorHAnsi" w:cstheme="minorHAnsi"/>
                <w:b/>
                <w:sz w:val="28"/>
                <w:szCs w:val="28"/>
              </w:rPr>
              <w:t>Agreement:</w:t>
            </w:r>
          </w:p>
        </w:tc>
        <w:tc>
          <w:tcPr>
            <w:tcW w:w="8080" w:type="dxa"/>
            <w:gridSpan w:val="2"/>
            <w:shd w:val="clear" w:color="auto" w:fill="F3F8C4"/>
            <w:vAlign w:val="center"/>
          </w:tcPr>
          <w:p w14:paraId="551924DF" w14:textId="77777777" w:rsidR="009B67A9" w:rsidRPr="00E72F5F" w:rsidRDefault="009B67A9" w:rsidP="008A16C2">
            <w:pPr>
              <w:spacing w:before="60" w:after="60"/>
              <w:jc w:val="center"/>
              <w:rPr>
                <w:rFonts w:asciiTheme="minorHAnsi" w:hAnsiTheme="minorHAnsi" w:cstheme="minorHAnsi"/>
                <w:b/>
              </w:rPr>
            </w:pPr>
            <w:r w:rsidRPr="00E72F5F">
              <w:rPr>
                <w:rFonts w:asciiTheme="minorHAnsi" w:hAnsiTheme="minorHAnsi" w:cstheme="minorHAnsi"/>
                <w:b/>
              </w:rPr>
              <w:t>I have read, understood and agree to comply with this job description.</w:t>
            </w:r>
          </w:p>
        </w:tc>
      </w:tr>
      <w:tr w:rsidR="009B67A9" w14:paraId="59DCEC65" w14:textId="77777777" w:rsidTr="004D46C8">
        <w:tc>
          <w:tcPr>
            <w:tcW w:w="2269" w:type="dxa"/>
            <w:vMerge/>
            <w:shd w:val="clear" w:color="auto" w:fill="D6E3BC" w:themeFill="accent3" w:themeFillTint="66"/>
            <w:vAlign w:val="center"/>
          </w:tcPr>
          <w:p w14:paraId="16260C35" w14:textId="77777777" w:rsidR="009B67A9" w:rsidRPr="00926C02" w:rsidRDefault="009B67A9" w:rsidP="008A16C2">
            <w:pPr>
              <w:rPr>
                <w:rFonts w:ascii="Arial Narrow" w:hAnsi="Arial Narrow"/>
                <w:b/>
              </w:rPr>
            </w:pPr>
          </w:p>
        </w:tc>
        <w:tc>
          <w:tcPr>
            <w:tcW w:w="1701" w:type="dxa"/>
            <w:shd w:val="clear" w:color="auto" w:fill="auto"/>
            <w:vAlign w:val="center"/>
          </w:tcPr>
          <w:p w14:paraId="4CAEF8B6" w14:textId="77777777" w:rsidR="009B67A9" w:rsidRPr="00E72F5F" w:rsidRDefault="009B67A9" w:rsidP="008A16C2">
            <w:pPr>
              <w:rPr>
                <w:rFonts w:asciiTheme="minorHAnsi" w:hAnsiTheme="minorHAnsi" w:cstheme="minorHAnsi"/>
                <w:b/>
                <w:sz w:val="22"/>
                <w:szCs w:val="22"/>
              </w:rPr>
            </w:pPr>
            <w:r w:rsidRPr="00E72F5F">
              <w:rPr>
                <w:rFonts w:asciiTheme="minorHAnsi" w:hAnsiTheme="minorHAnsi" w:cstheme="minorHAnsi"/>
                <w:b/>
                <w:sz w:val="22"/>
                <w:szCs w:val="22"/>
              </w:rPr>
              <w:t>Name:</w:t>
            </w:r>
          </w:p>
        </w:tc>
        <w:tc>
          <w:tcPr>
            <w:tcW w:w="6379" w:type="dxa"/>
            <w:shd w:val="clear" w:color="auto" w:fill="auto"/>
            <w:vAlign w:val="center"/>
          </w:tcPr>
          <w:p w14:paraId="6F884571" w14:textId="77777777" w:rsidR="009B67A9" w:rsidRPr="00812B84" w:rsidRDefault="009B67A9" w:rsidP="008A16C2">
            <w:pPr>
              <w:rPr>
                <w:rFonts w:asciiTheme="minorHAnsi" w:hAnsiTheme="minorHAnsi" w:cstheme="minorHAnsi"/>
                <w:sz w:val="40"/>
                <w:szCs w:val="40"/>
              </w:rPr>
            </w:pPr>
          </w:p>
        </w:tc>
      </w:tr>
      <w:tr w:rsidR="009B67A9" w14:paraId="53955A63" w14:textId="77777777" w:rsidTr="004D46C8">
        <w:tc>
          <w:tcPr>
            <w:tcW w:w="2269" w:type="dxa"/>
            <w:vMerge/>
            <w:shd w:val="clear" w:color="auto" w:fill="D6E3BC" w:themeFill="accent3" w:themeFillTint="66"/>
            <w:vAlign w:val="center"/>
          </w:tcPr>
          <w:p w14:paraId="0B65D1B6" w14:textId="77777777" w:rsidR="009B67A9" w:rsidRPr="00926C02" w:rsidRDefault="009B67A9" w:rsidP="008A16C2">
            <w:pPr>
              <w:rPr>
                <w:rFonts w:ascii="Arial Narrow" w:hAnsi="Arial Narrow"/>
                <w:b/>
              </w:rPr>
            </w:pPr>
          </w:p>
        </w:tc>
        <w:tc>
          <w:tcPr>
            <w:tcW w:w="1701" w:type="dxa"/>
            <w:tcBorders>
              <w:bottom w:val="single" w:sz="4" w:space="0" w:color="auto"/>
            </w:tcBorders>
            <w:shd w:val="clear" w:color="auto" w:fill="auto"/>
            <w:vAlign w:val="center"/>
          </w:tcPr>
          <w:p w14:paraId="5C2ADFA0" w14:textId="77777777" w:rsidR="009B67A9" w:rsidRPr="00E72F5F" w:rsidRDefault="009B67A9" w:rsidP="008A16C2">
            <w:pPr>
              <w:rPr>
                <w:rFonts w:asciiTheme="minorHAnsi" w:hAnsiTheme="minorHAnsi" w:cstheme="minorHAnsi"/>
                <w:b/>
                <w:sz w:val="22"/>
                <w:szCs w:val="22"/>
              </w:rPr>
            </w:pPr>
            <w:r w:rsidRPr="00E72F5F">
              <w:rPr>
                <w:rFonts w:asciiTheme="minorHAnsi" w:hAnsiTheme="minorHAnsi" w:cstheme="minorHAnsi"/>
                <w:b/>
                <w:sz w:val="22"/>
                <w:szCs w:val="22"/>
              </w:rPr>
              <w:t>Signature:</w:t>
            </w:r>
          </w:p>
        </w:tc>
        <w:tc>
          <w:tcPr>
            <w:tcW w:w="6379" w:type="dxa"/>
            <w:tcBorders>
              <w:bottom w:val="single" w:sz="4" w:space="0" w:color="auto"/>
            </w:tcBorders>
            <w:shd w:val="clear" w:color="auto" w:fill="auto"/>
            <w:vAlign w:val="center"/>
          </w:tcPr>
          <w:p w14:paraId="73D1D2EA" w14:textId="77777777" w:rsidR="009B67A9" w:rsidRPr="00812B84" w:rsidRDefault="009B67A9" w:rsidP="008A16C2">
            <w:pPr>
              <w:rPr>
                <w:rFonts w:asciiTheme="minorHAnsi" w:hAnsiTheme="minorHAnsi" w:cstheme="minorHAnsi"/>
                <w:sz w:val="40"/>
                <w:szCs w:val="40"/>
              </w:rPr>
            </w:pPr>
          </w:p>
        </w:tc>
      </w:tr>
      <w:tr w:rsidR="009B67A9" w14:paraId="3DCD3EBA" w14:textId="77777777" w:rsidTr="004D46C8">
        <w:tc>
          <w:tcPr>
            <w:tcW w:w="2269" w:type="dxa"/>
            <w:vMerge/>
            <w:tcBorders>
              <w:bottom w:val="single" w:sz="4" w:space="0" w:color="auto"/>
            </w:tcBorders>
            <w:shd w:val="clear" w:color="auto" w:fill="D6E3BC" w:themeFill="accent3" w:themeFillTint="66"/>
            <w:vAlign w:val="center"/>
          </w:tcPr>
          <w:p w14:paraId="23B959B7" w14:textId="77777777" w:rsidR="009B67A9" w:rsidRPr="00926C02" w:rsidRDefault="009B67A9" w:rsidP="008A16C2">
            <w:pPr>
              <w:rPr>
                <w:rFonts w:ascii="Arial Narrow" w:hAnsi="Arial Narrow"/>
                <w:b/>
              </w:rPr>
            </w:pPr>
          </w:p>
        </w:tc>
        <w:tc>
          <w:tcPr>
            <w:tcW w:w="1701" w:type="dxa"/>
            <w:tcBorders>
              <w:bottom w:val="single" w:sz="4" w:space="0" w:color="auto"/>
            </w:tcBorders>
            <w:shd w:val="clear" w:color="auto" w:fill="auto"/>
            <w:vAlign w:val="center"/>
          </w:tcPr>
          <w:p w14:paraId="18B37B7A" w14:textId="77777777" w:rsidR="009B67A9" w:rsidRPr="00E72F5F" w:rsidRDefault="009B67A9" w:rsidP="008A16C2">
            <w:pPr>
              <w:rPr>
                <w:rFonts w:asciiTheme="minorHAnsi" w:hAnsiTheme="minorHAnsi" w:cstheme="minorHAnsi"/>
                <w:b/>
                <w:sz w:val="22"/>
                <w:szCs w:val="22"/>
              </w:rPr>
            </w:pPr>
            <w:r w:rsidRPr="00E72F5F">
              <w:rPr>
                <w:rFonts w:asciiTheme="minorHAnsi" w:hAnsiTheme="minorHAnsi" w:cstheme="minorHAnsi"/>
                <w:b/>
                <w:sz w:val="22"/>
                <w:szCs w:val="22"/>
              </w:rPr>
              <w:t>Date:</w:t>
            </w:r>
          </w:p>
        </w:tc>
        <w:tc>
          <w:tcPr>
            <w:tcW w:w="6379" w:type="dxa"/>
            <w:tcBorders>
              <w:bottom w:val="single" w:sz="4" w:space="0" w:color="auto"/>
            </w:tcBorders>
            <w:shd w:val="clear" w:color="auto" w:fill="auto"/>
            <w:vAlign w:val="center"/>
          </w:tcPr>
          <w:p w14:paraId="3894C16D" w14:textId="77777777" w:rsidR="009B67A9" w:rsidRPr="00812B84" w:rsidRDefault="009B67A9" w:rsidP="008A16C2">
            <w:pPr>
              <w:rPr>
                <w:rFonts w:asciiTheme="minorHAnsi" w:hAnsiTheme="minorHAnsi" w:cstheme="minorHAnsi"/>
                <w:sz w:val="40"/>
                <w:szCs w:val="40"/>
              </w:rPr>
            </w:pPr>
          </w:p>
        </w:tc>
      </w:tr>
      <w:tr w:rsidR="009B67A9" w14:paraId="7B9424CF" w14:textId="77777777" w:rsidTr="005F79A4">
        <w:tc>
          <w:tcPr>
            <w:tcW w:w="2269" w:type="dxa"/>
            <w:tcBorders>
              <w:top w:val="nil"/>
              <w:left w:val="nil"/>
              <w:bottom w:val="nil"/>
              <w:right w:val="nil"/>
            </w:tcBorders>
            <w:shd w:val="clear" w:color="auto" w:fill="auto"/>
          </w:tcPr>
          <w:p w14:paraId="05EC2E08" w14:textId="77777777" w:rsidR="00BA182E" w:rsidRDefault="00BA182E" w:rsidP="008A16C2">
            <w:pPr>
              <w:rPr>
                <w:rFonts w:asciiTheme="minorHAnsi" w:hAnsiTheme="minorHAnsi" w:cstheme="minorHAnsi"/>
                <w:sz w:val="22"/>
                <w:szCs w:val="22"/>
              </w:rPr>
            </w:pPr>
          </w:p>
          <w:p w14:paraId="50AE8ED2" w14:textId="77777777" w:rsidR="009B67A9" w:rsidRPr="00E72F5F" w:rsidRDefault="009B67A9" w:rsidP="008A16C2">
            <w:pPr>
              <w:rPr>
                <w:rFonts w:asciiTheme="minorHAnsi" w:hAnsiTheme="minorHAnsi" w:cstheme="minorHAnsi"/>
                <w:sz w:val="22"/>
                <w:szCs w:val="22"/>
              </w:rPr>
            </w:pPr>
            <w:r w:rsidRPr="00E72F5F">
              <w:rPr>
                <w:rFonts w:asciiTheme="minorHAnsi" w:hAnsiTheme="minorHAnsi" w:cstheme="minorHAnsi"/>
                <w:sz w:val="22"/>
                <w:szCs w:val="22"/>
              </w:rPr>
              <w:t>Date Reviewed:</w:t>
            </w:r>
          </w:p>
        </w:tc>
        <w:tc>
          <w:tcPr>
            <w:tcW w:w="8080" w:type="dxa"/>
            <w:gridSpan w:val="2"/>
            <w:tcBorders>
              <w:top w:val="nil"/>
              <w:left w:val="nil"/>
              <w:bottom w:val="nil"/>
              <w:right w:val="nil"/>
            </w:tcBorders>
            <w:shd w:val="clear" w:color="auto" w:fill="auto"/>
          </w:tcPr>
          <w:p w14:paraId="53A9E4AE" w14:textId="77777777" w:rsidR="00BA182E" w:rsidRDefault="00BA182E" w:rsidP="008A16C2">
            <w:pPr>
              <w:rPr>
                <w:rFonts w:asciiTheme="minorHAnsi" w:hAnsiTheme="minorHAnsi" w:cstheme="minorHAnsi"/>
                <w:sz w:val="22"/>
                <w:szCs w:val="22"/>
              </w:rPr>
            </w:pPr>
          </w:p>
          <w:p w14:paraId="37B6D19C" w14:textId="77777777" w:rsidR="009B67A9" w:rsidRPr="00E72F5F" w:rsidRDefault="00011BED" w:rsidP="008A16C2">
            <w:pPr>
              <w:rPr>
                <w:rFonts w:asciiTheme="minorHAnsi" w:hAnsiTheme="minorHAnsi" w:cstheme="minorHAnsi"/>
                <w:sz w:val="22"/>
                <w:szCs w:val="22"/>
              </w:rPr>
            </w:pPr>
            <w:r>
              <w:rPr>
                <w:rFonts w:asciiTheme="minorHAnsi" w:hAnsiTheme="minorHAnsi" w:cstheme="minorHAnsi"/>
                <w:sz w:val="22"/>
                <w:szCs w:val="22"/>
              </w:rPr>
              <w:t>July</w:t>
            </w:r>
            <w:r w:rsidR="00435EA7">
              <w:rPr>
                <w:rFonts w:asciiTheme="minorHAnsi" w:hAnsiTheme="minorHAnsi" w:cstheme="minorHAnsi"/>
                <w:sz w:val="22"/>
                <w:szCs w:val="22"/>
              </w:rPr>
              <w:t xml:space="preserve"> 2019</w:t>
            </w:r>
          </w:p>
        </w:tc>
      </w:tr>
    </w:tbl>
    <w:p w14:paraId="7D5522EA" w14:textId="77777777" w:rsidR="001125A2" w:rsidRDefault="001125A2" w:rsidP="00BA182E"/>
    <w:sectPr w:rsidR="001125A2" w:rsidSect="005B51B0">
      <w:headerReference w:type="default" r:id="rId7"/>
      <w:footerReference w:type="default" r:id="rId8"/>
      <w:pgSz w:w="11906" w:h="16838"/>
      <w:pgMar w:top="1134" w:right="1440" w:bottom="709" w:left="1440" w:header="142"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F60E2" w14:textId="77777777" w:rsidR="00B35349" w:rsidRDefault="00B35349" w:rsidP="009B67A9">
      <w:r>
        <w:separator/>
      </w:r>
    </w:p>
  </w:endnote>
  <w:endnote w:type="continuationSeparator" w:id="0">
    <w:p w14:paraId="3B057334" w14:textId="77777777" w:rsidR="00B35349" w:rsidRDefault="00B35349" w:rsidP="009B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EC2BB" w14:textId="77777777" w:rsidR="008A16C2" w:rsidRPr="00E72F5F" w:rsidRDefault="000065EB" w:rsidP="009B67A9">
    <w:pPr>
      <w:pStyle w:val="Footer"/>
      <w:rPr>
        <w:rFonts w:asciiTheme="minorHAnsi" w:hAnsiTheme="minorHAnsi" w:cstheme="minorHAnsi"/>
        <w:sz w:val="16"/>
        <w:szCs w:val="16"/>
      </w:rPr>
    </w:pPr>
    <w:r w:rsidRPr="00E72F5F">
      <w:rPr>
        <w:rFonts w:asciiTheme="minorHAnsi" w:hAnsiTheme="minorHAnsi" w:cstheme="minorHAnsi"/>
        <w:sz w:val="16"/>
        <w:szCs w:val="16"/>
      </w:rPr>
      <w:t>I:\Corporate Documents\</w:t>
    </w:r>
    <w:r w:rsidR="008A16C2" w:rsidRPr="00E72F5F">
      <w:rPr>
        <w:rFonts w:asciiTheme="minorHAnsi" w:hAnsiTheme="minorHAnsi" w:cstheme="minorHAnsi"/>
        <w:sz w:val="16"/>
        <w:szCs w:val="16"/>
      </w:rPr>
      <w:t>Position Descriptions\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340E" w14:textId="77777777" w:rsidR="00B35349" w:rsidRDefault="00B35349" w:rsidP="009B67A9">
      <w:r>
        <w:separator/>
      </w:r>
    </w:p>
  </w:footnote>
  <w:footnote w:type="continuationSeparator" w:id="0">
    <w:p w14:paraId="2DB30FBF" w14:textId="77777777" w:rsidR="00B35349" w:rsidRDefault="00B35349" w:rsidP="009B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8B33" w14:textId="77777777" w:rsidR="008A16C2" w:rsidRDefault="008A16C2" w:rsidP="009B67A9">
    <w:pPr>
      <w:ind w:right="-1227"/>
      <w:jc w:val="right"/>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252"/>
      <w:gridCol w:w="1560"/>
      <w:gridCol w:w="2126"/>
    </w:tblGrid>
    <w:tr w:rsidR="00D43559" w:rsidRPr="00926C02" w14:paraId="397DFEBB" w14:textId="77777777" w:rsidTr="00096C0D">
      <w:trPr>
        <w:trHeight w:val="567"/>
      </w:trPr>
      <w:tc>
        <w:tcPr>
          <w:tcW w:w="10207" w:type="dxa"/>
          <w:gridSpan w:val="4"/>
          <w:shd w:val="clear" w:color="auto" w:fill="FFFFFF" w:themeFill="background1"/>
          <w:vAlign w:val="center"/>
        </w:tcPr>
        <w:p w14:paraId="2B9108FB" w14:textId="77777777" w:rsidR="00096C0D" w:rsidRDefault="00096C0D" w:rsidP="00096C0D">
          <w:pPr>
            <w:ind w:right="-66"/>
            <w:rPr>
              <w:rFonts w:ascii="Arial" w:hAnsi="Arial" w:cs="Arial"/>
              <w:b/>
              <w:sz w:val="32"/>
              <w:szCs w:val="32"/>
            </w:rPr>
          </w:pPr>
          <w:r w:rsidRPr="00096C0D">
            <w:rPr>
              <w:rFonts w:ascii="Arial" w:hAnsi="Arial" w:cs="Arial"/>
              <w:b/>
              <w:noProof/>
              <w:sz w:val="32"/>
              <w:szCs w:val="32"/>
              <w:lang w:val="en-AU" w:eastAsia="en-AU"/>
            </w:rPr>
            <w:drawing>
              <wp:inline distT="0" distB="0" distL="0" distR="0" wp14:anchorId="627414ED" wp14:editId="1A53B259">
                <wp:extent cx="1327868" cy="647029"/>
                <wp:effectExtent l="0" t="0" r="5715" b="1270"/>
                <wp:docPr id="23" name="Picture 23" descr="Z:\Website and rebranding\New logos and templates\EPC180427_MasterPSLogoH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bsite and rebranding\New logos and templates\EPC180427_MasterPSLogoHo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300" cy="682810"/>
                        </a:xfrm>
                        <a:prstGeom prst="rect">
                          <a:avLst/>
                        </a:prstGeom>
                        <a:noFill/>
                        <a:ln>
                          <a:noFill/>
                        </a:ln>
                      </pic:spPr>
                    </pic:pic>
                  </a:graphicData>
                </a:graphic>
              </wp:inline>
            </w:drawing>
          </w:r>
          <w:r>
            <w:rPr>
              <w:rFonts w:ascii="Arial" w:hAnsi="Arial" w:cs="Arial"/>
              <w:b/>
              <w:sz w:val="32"/>
              <w:szCs w:val="32"/>
            </w:rPr>
            <w:t xml:space="preserve">        </w:t>
          </w:r>
          <w:r w:rsidRPr="00812B84">
            <w:rPr>
              <w:rFonts w:asciiTheme="minorHAnsi" w:hAnsiTheme="minorHAnsi" w:cstheme="minorHAnsi"/>
              <w:b/>
              <w:sz w:val="36"/>
              <w:szCs w:val="36"/>
            </w:rPr>
            <w:t>POSITION DESCRIPTION</w:t>
          </w:r>
          <w:r>
            <w:rPr>
              <w:rFonts w:ascii="Arial" w:hAnsi="Arial" w:cs="Arial"/>
              <w:b/>
              <w:sz w:val="32"/>
              <w:szCs w:val="32"/>
            </w:rPr>
            <w:t xml:space="preserve">          </w:t>
          </w:r>
        </w:p>
        <w:p w14:paraId="76125CC6" w14:textId="77777777" w:rsidR="008A16C2" w:rsidRPr="00926C02" w:rsidRDefault="00096C0D" w:rsidP="00096C0D">
          <w:pPr>
            <w:ind w:right="-66"/>
            <w:rPr>
              <w:rFonts w:ascii="Arial" w:hAnsi="Arial" w:cs="Arial"/>
              <w:color w:val="FFFFFF"/>
            </w:rPr>
          </w:pPr>
          <w:r>
            <w:rPr>
              <w:rFonts w:ascii="Arial" w:hAnsi="Arial" w:cs="Arial"/>
              <w:b/>
              <w:sz w:val="32"/>
              <w:szCs w:val="32"/>
            </w:rPr>
            <w:t xml:space="preserve">          </w:t>
          </w:r>
          <w:r w:rsidR="0078564C">
            <w:rPr>
              <w:rFonts w:ascii="Arial" w:hAnsi="Arial" w:cs="Arial"/>
              <w:b/>
              <w:color w:val="FFFFFF"/>
            </w:rPr>
            <w:t xml:space="preserve">                                                                                                                           </w:t>
          </w:r>
          <w:r w:rsidR="0078564C">
            <w:rPr>
              <w:rFonts w:ascii="Arial" w:hAnsi="Arial" w:cs="Arial"/>
              <w:b/>
              <w:noProof/>
              <w:color w:val="FFFFFF"/>
              <w:lang w:val="en-AU" w:eastAsia="en-AU"/>
            </w:rPr>
            <w:t xml:space="preserve">  </w:t>
          </w:r>
        </w:p>
      </w:tc>
    </w:tr>
    <w:tr w:rsidR="00D43559" w:rsidRPr="00F95A46" w14:paraId="16760F87" w14:textId="77777777" w:rsidTr="00D43559">
      <w:trPr>
        <w:trHeight w:val="418"/>
      </w:trPr>
      <w:tc>
        <w:tcPr>
          <w:tcW w:w="2269" w:type="dxa"/>
          <w:vAlign w:val="center"/>
        </w:tcPr>
        <w:p w14:paraId="31A22DDE" w14:textId="77777777" w:rsidR="008A16C2" w:rsidRPr="00E72F5F" w:rsidRDefault="008A16C2" w:rsidP="008A16C2">
          <w:pPr>
            <w:rPr>
              <w:rFonts w:asciiTheme="minorHAnsi" w:hAnsiTheme="minorHAnsi" w:cstheme="minorHAnsi"/>
              <w:b/>
              <w:sz w:val="22"/>
              <w:szCs w:val="22"/>
            </w:rPr>
          </w:pPr>
          <w:r w:rsidRPr="00E72F5F">
            <w:rPr>
              <w:rFonts w:asciiTheme="minorHAnsi" w:hAnsiTheme="minorHAnsi" w:cstheme="minorHAnsi"/>
              <w:b/>
              <w:sz w:val="22"/>
              <w:szCs w:val="22"/>
            </w:rPr>
            <w:t>Position Title:</w:t>
          </w:r>
        </w:p>
      </w:tc>
      <w:tc>
        <w:tcPr>
          <w:tcW w:w="7938" w:type="dxa"/>
          <w:gridSpan w:val="3"/>
          <w:tcBorders>
            <w:right w:val="single" w:sz="4" w:space="0" w:color="auto"/>
          </w:tcBorders>
          <w:shd w:val="clear" w:color="auto" w:fill="auto"/>
          <w:vAlign w:val="center"/>
        </w:tcPr>
        <w:p w14:paraId="35C660A3" w14:textId="6DD00AB3" w:rsidR="008A16C2" w:rsidRPr="00E72F5F" w:rsidRDefault="00CE351F" w:rsidP="00CE351F">
          <w:pPr>
            <w:rPr>
              <w:rFonts w:asciiTheme="minorHAnsi" w:hAnsiTheme="minorHAnsi" w:cstheme="minorHAnsi"/>
              <w:b/>
              <w:sz w:val="28"/>
              <w:szCs w:val="28"/>
            </w:rPr>
          </w:pPr>
          <w:r>
            <w:rPr>
              <w:rFonts w:asciiTheme="minorHAnsi" w:hAnsiTheme="minorHAnsi" w:cstheme="minorHAnsi"/>
              <w:b/>
              <w:sz w:val="28"/>
              <w:szCs w:val="28"/>
            </w:rPr>
            <w:t>SENIOR DATA ANALYST/BIOSTATI</w:t>
          </w:r>
          <w:r w:rsidR="0056428A">
            <w:rPr>
              <w:rFonts w:asciiTheme="minorHAnsi" w:hAnsiTheme="minorHAnsi" w:cstheme="minorHAnsi"/>
              <w:b/>
              <w:sz w:val="28"/>
              <w:szCs w:val="28"/>
            </w:rPr>
            <w:t>STI</w:t>
          </w:r>
          <w:r>
            <w:rPr>
              <w:rFonts w:asciiTheme="minorHAnsi" w:hAnsiTheme="minorHAnsi" w:cstheme="minorHAnsi"/>
              <w:b/>
              <w:sz w:val="28"/>
              <w:szCs w:val="28"/>
            </w:rPr>
            <w:t>CIAN</w:t>
          </w:r>
        </w:p>
      </w:tc>
    </w:tr>
    <w:tr w:rsidR="000B1533" w:rsidRPr="00F95A46" w14:paraId="39825458" w14:textId="77777777" w:rsidTr="00D43559">
      <w:trPr>
        <w:trHeight w:val="346"/>
      </w:trPr>
      <w:tc>
        <w:tcPr>
          <w:tcW w:w="2269" w:type="dxa"/>
          <w:vAlign w:val="center"/>
        </w:tcPr>
        <w:p w14:paraId="4A3E7E5E" w14:textId="77777777" w:rsidR="000B1533" w:rsidRPr="00E72F5F" w:rsidRDefault="000B1533" w:rsidP="000B1533">
          <w:pPr>
            <w:rPr>
              <w:rFonts w:asciiTheme="minorHAnsi" w:hAnsiTheme="minorHAnsi" w:cstheme="minorHAnsi"/>
              <w:sz w:val="22"/>
              <w:szCs w:val="22"/>
            </w:rPr>
          </w:pPr>
          <w:r w:rsidRPr="00E72F5F">
            <w:rPr>
              <w:rFonts w:asciiTheme="minorHAnsi" w:hAnsiTheme="minorHAnsi" w:cstheme="minorHAnsi"/>
              <w:b/>
              <w:sz w:val="22"/>
              <w:szCs w:val="22"/>
            </w:rPr>
            <w:t>Industrial Instrument:</w:t>
          </w:r>
        </w:p>
      </w:tc>
      <w:tc>
        <w:tcPr>
          <w:tcW w:w="4252" w:type="dxa"/>
          <w:tcBorders>
            <w:right w:val="nil"/>
          </w:tcBorders>
          <w:shd w:val="clear" w:color="auto" w:fill="auto"/>
          <w:vAlign w:val="center"/>
        </w:tcPr>
        <w:p w14:paraId="5A82AB32" w14:textId="77777777" w:rsidR="000B1533" w:rsidRPr="000B1533" w:rsidRDefault="00804B46" w:rsidP="000B1533">
          <w:pPr>
            <w:rPr>
              <w:rFonts w:asciiTheme="minorHAnsi" w:hAnsiTheme="minorHAnsi" w:cstheme="minorHAnsi"/>
              <w:sz w:val="20"/>
              <w:szCs w:val="20"/>
            </w:rPr>
          </w:pPr>
          <w:r>
            <w:rPr>
              <w:rFonts w:asciiTheme="minorHAnsi" w:hAnsiTheme="minorHAnsi" w:cstheme="minorHAnsi"/>
              <w:sz w:val="22"/>
              <w:szCs w:val="22"/>
            </w:rPr>
            <w:t>EPC Non Award Contract</w:t>
          </w:r>
        </w:p>
      </w:tc>
      <w:tc>
        <w:tcPr>
          <w:tcW w:w="1560" w:type="dxa"/>
          <w:tcBorders>
            <w:right w:val="nil"/>
          </w:tcBorders>
          <w:shd w:val="clear" w:color="auto" w:fill="auto"/>
          <w:vAlign w:val="center"/>
        </w:tcPr>
        <w:p w14:paraId="61EE8F34" w14:textId="77777777" w:rsidR="000B1533" w:rsidRPr="00E72F5F" w:rsidRDefault="000B1533" w:rsidP="000B1533">
          <w:pPr>
            <w:rPr>
              <w:rFonts w:asciiTheme="minorHAnsi" w:hAnsiTheme="minorHAnsi" w:cstheme="minorHAnsi"/>
              <w:b/>
              <w:sz w:val="22"/>
              <w:szCs w:val="22"/>
            </w:rPr>
          </w:pPr>
          <w:r w:rsidRPr="00E72F5F">
            <w:rPr>
              <w:rFonts w:asciiTheme="minorHAnsi" w:hAnsiTheme="minorHAnsi" w:cstheme="minorHAnsi"/>
              <w:b/>
              <w:sz w:val="22"/>
              <w:szCs w:val="22"/>
            </w:rPr>
            <w:t>Department:</w:t>
          </w:r>
        </w:p>
      </w:tc>
      <w:tc>
        <w:tcPr>
          <w:tcW w:w="2126" w:type="dxa"/>
          <w:tcBorders>
            <w:right w:val="single" w:sz="4" w:space="0" w:color="auto"/>
          </w:tcBorders>
          <w:shd w:val="clear" w:color="auto" w:fill="auto"/>
          <w:vAlign w:val="center"/>
        </w:tcPr>
        <w:p w14:paraId="17F8A944" w14:textId="77777777" w:rsidR="000B1533" w:rsidRPr="00E72F5F" w:rsidRDefault="00804B46" w:rsidP="000B1533">
          <w:pPr>
            <w:rPr>
              <w:rFonts w:asciiTheme="minorHAnsi" w:hAnsiTheme="minorHAnsi" w:cstheme="minorHAnsi"/>
              <w:b/>
              <w:sz w:val="22"/>
              <w:szCs w:val="22"/>
            </w:rPr>
          </w:pPr>
          <w:r>
            <w:rPr>
              <w:rFonts w:asciiTheme="minorHAnsi" w:hAnsiTheme="minorHAnsi" w:cstheme="minorHAnsi"/>
              <w:sz w:val="22"/>
              <w:szCs w:val="22"/>
            </w:rPr>
            <w:t>Corporate Services</w:t>
          </w:r>
        </w:p>
      </w:tc>
    </w:tr>
    <w:tr w:rsidR="000B1533" w:rsidRPr="00F95A46" w14:paraId="57806DA6" w14:textId="77777777" w:rsidTr="00D43559">
      <w:trPr>
        <w:trHeight w:val="346"/>
      </w:trPr>
      <w:tc>
        <w:tcPr>
          <w:tcW w:w="2269" w:type="dxa"/>
          <w:vAlign w:val="center"/>
        </w:tcPr>
        <w:p w14:paraId="57EA881D" w14:textId="77777777" w:rsidR="000B1533" w:rsidRPr="00E72F5F" w:rsidRDefault="000B1533" w:rsidP="000B1533">
          <w:pPr>
            <w:rPr>
              <w:rFonts w:asciiTheme="minorHAnsi" w:hAnsiTheme="minorHAnsi" w:cstheme="minorHAnsi"/>
              <w:sz w:val="22"/>
              <w:szCs w:val="22"/>
            </w:rPr>
          </w:pPr>
          <w:r w:rsidRPr="00E72F5F">
            <w:rPr>
              <w:rFonts w:asciiTheme="minorHAnsi" w:hAnsiTheme="minorHAnsi" w:cstheme="minorHAnsi"/>
              <w:b/>
              <w:sz w:val="22"/>
              <w:szCs w:val="22"/>
            </w:rPr>
            <w:t>Responsible To:</w:t>
          </w:r>
        </w:p>
      </w:tc>
      <w:tc>
        <w:tcPr>
          <w:tcW w:w="4252" w:type="dxa"/>
          <w:tcBorders>
            <w:right w:val="single" w:sz="4" w:space="0" w:color="auto"/>
          </w:tcBorders>
          <w:shd w:val="clear" w:color="auto" w:fill="auto"/>
          <w:vAlign w:val="center"/>
        </w:tcPr>
        <w:p w14:paraId="5B7499B3" w14:textId="677DE221" w:rsidR="000B1533" w:rsidRPr="00E72F5F" w:rsidRDefault="00011BED" w:rsidP="000B1533">
          <w:pPr>
            <w:rPr>
              <w:rFonts w:asciiTheme="minorHAnsi" w:hAnsiTheme="minorHAnsi" w:cstheme="minorHAnsi"/>
              <w:sz w:val="22"/>
              <w:szCs w:val="22"/>
            </w:rPr>
          </w:pPr>
          <w:r>
            <w:rPr>
              <w:rFonts w:asciiTheme="minorHAnsi" w:hAnsiTheme="minorHAnsi" w:cstheme="minorHAnsi"/>
              <w:sz w:val="22"/>
              <w:szCs w:val="22"/>
            </w:rPr>
            <w:t>Business Manager</w:t>
          </w:r>
        </w:p>
      </w:tc>
      <w:tc>
        <w:tcPr>
          <w:tcW w:w="1560" w:type="dxa"/>
          <w:tcBorders>
            <w:right w:val="single" w:sz="4" w:space="0" w:color="auto"/>
          </w:tcBorders>
          <w:shd w:val="clear" w:color="auto" w:fill="auto"/>
          <w:vAlign w:val="center"/>
        </w:tcPr>
        <w:p w14:paraId="233947B6" w14:textId="77777777" w:rsidR="000B1533" w:rsidRPr="00E72F5F" w:rsidRDefault="000B1533" w:rsidP="000B1533">
          <w:pPr>
            <w:ind w:right="-100"/>
            <w:rPr>
              <w:rFonts w:asciiTheme="minorHAnsi" w:hAnsiTheme="minorHAnsi" w:cstheme="minorHAnsi"/>
              <w:sz w:val="22"/>
              <w:szCs w:val="22"/>
            </w:rPr>
          </w:pPr>
          <w:r w:rsidRPr="00E72F5F">
            <w:rPr>
              <w:rFonts w:asciiTheme="minorHAnsi" w:hAnsiTheme="minorHAnsi" w:cstheme="minorHAnsi"/>
              <w:b/>
              <w:sz w:val="22"/>
              <w:szCs w:val="22"/>
            </w:rPr>
            <w:t>Hours of Duty:</w:t>
          </w:r>
        </w:p>
      </w:tc>
      <w:tc>
        <w:tcPr>
          <w:tcW w:w="2126" w:type="dxa"/>
          <w:tcBorders>
            <w:right w:val="single" w:sz="4" w:space="0" w:color="auto"/>
          </w:tcBorders>
          <w:shd w:val="clear" w:color="auto" w:fill="auto"/>
          <w:vAlign w:val="center"/>
        </w:tcPr>
        <w:p w14:paraId="6780E93B" w14:textId="77777777" w:rsidR="000B1533" w:rsidRPr="00E72F5F" w:rsidRDefault="000B1533" w:rsidP="000B1533">
          <w:pPr>
            <w:rPr>
              <w:rFonts w:asciiTheme="minorHAnsi" w:hAnsiTheme="minorHAnsi" w:cstheme="minorHAnsi"/>
              <w:sz w:val="22"/>
              <w:szCs w:val="22"/>
            </w:rPr>
          </w:pPr>
          <w:r w:rsidRPr="00E72F5F">
            <w:rPr>
              <w:rFonts w:asciiTheme="minorHAnsi" w:hAnsiTheme="minorHAnsi" w:cstheme="minorHAnsi"/>
              <w:sz w:val="22"/>
              <w:szCs w:val="22"/>
            </w:rPr>
            <w:t>As per contract</w:t>
          </w:r>
        </w:p>
      </w:tc>
    </w:tr>
    <w:tr w:rsidR="000B1533" w:rsidRPr="00F95A46" w14:paraId="429A42EB" w14:textId="77777777" w:rsidTr="00D43559">
      <w:trPr>
        <w:trHeight w:val="346"/>
      </w:trPr>
      <w:tc>
        <w:tcPr>
          <w:tcW w:w="2269" w:type="dxa"/>
          <w:vAlign w:val="center"/>
        </w:tcPr>
        <w:p w14:paraId="74FB64C0" w14:textId="77777777" w:rsidR="000B1533" w:rsidRPr="00E72F5F" w:rsidRDefault="000B1533" w:rsidP="000B1533">
          <w:pPr>
            <w:rPr>
              <w:rFonts w:asciiTheme="minorHAnsi" w:hAnsiTheme="minorHAnsi" w:cstheme="minorHAnsi"/>
              <w:sz w:val="22"/>
              <w:szCs w:val="22"/>
            </w:rPr>
          </w:pPr>
          <w:r w:rsidRPr="00E72F5F">
            <w:rPr>
              <w:rFonts w:asciiTheme="minorHAnsi" w:hAnsiTheme="minorHAnsi" w:cstheme="minorHAnsi"/>
              <w:b/>
              <w:sz w:val="22"/>
              <w:szCs w:val="22"/>
            </w:rPr>
            <w:t>Performance Appraisal:</w:t>
          </w:r>
        </w:p>
      </w:tc>
      <w:tc>
        <w:tcPr>
          <w:tcW w:w="5812" w:type="dxa"/>
          <w:gridSpan w:val="2"/>
          <w:vAlign w:val="center"/>
        </w:tcPr>
        <w:p w14:paraId="6B5505B8" w14:textId="77777777" w:rsidR="000B1533" w:rsidRPr="00E72F5F" w:rsidRDefault="000B1533" w:rsidP="000B1533">
          <w:pPr>
            <w:rPr>
              <w:rFonts w:asciiTheme="minorHAnsi" w:hAnsiTheme="minorHAnsi" w:cstheme="minorHAnsi"/>
              <w:sz w:val="20"/>
              <w:szCs w:val="20"/>
            </w:rPr>
          </w:pPr>
          <w:r w:rsidRPr="00E72F5F">
            <w:rPr>
              <w:rFonts w:asciiTheme="minorHAnsi" w:hAnsiTheme="minorHAnsi" w:cstheme="minorHAnsi"/>
              <w:sz w:val="22"/>
              <w:szCs w:val="22"/>
            </w:rPr>
            <w:t>Regularly during the first six months and then annually at the anniversary of commencement</w:t>
          </w:r>
        </w:p>
      </w:tc>
      <w:tc>
        <w:tcPr>
          <w:tcW w:w="2126" w:type="dxa"/>
          <w:vAlign w:val="center"/>
        </w:tcPr>
        <w:p w14:paraId="37C95A4E" w14:textId="13E2F356" w:rsidR="000B1533" w:rsidRPr="00E72F5F" w:rsidRDefault="000B1533" w:rsidP="000B1533">
          <w:pPr>
            <w:rPr>
              <w:rFonts w:asciiTheme="minorHAnsi" w:hAnsiTheme="minorHAnsi" w:cstheme="minorHAnsi"/>
              <w:sz w:val="22"/>
              <w:szCs w:val="22"/>
            </w:rPr>
          </w:pPr>
          <w:r w:rsidRPr="00E72F5F">
            <w:rPr>
              <w:rFonts w:asciiTheme="minorHAnsi" w:hAnsiTheme="minorHAnsi" w:cstheme="minorHAnsi"/>
              <w:b/>
              <w:sz w:val="22"/>
              <w:szCs w:val="22"/>
            </w:rPr>
            <w:t>Page</w:t>
          </w:r>
          <w:r w:rsidRPr="00E72F5F">
            <w:rPr>
              <w:rFonts w:asciiTheme="minorHAnsi" w:hAnsiTheme="minorHAnsi" w:cstheme="minorHAnsi"/>
              <w:sz w:val="22"/>
              <w:szCs w:val="22"/>
            </w:rPr>
            <w:t xml:space="preserve"> </w:t>
          </w:r>
          <w:r w:rsidRPr="00E72F5F">
            <w:rPr>
              <w:rFonts w:asciiTheme="minorHAnsi" w:hAnsiTheme="minorHAnsi" w:cstheme="minorHAnsi"/>
              <w:sz w:val="22"/>
              <w:szCs w:val="22"/>
            </w:rPr>
            <w:fldChar w:fldCharType="begin"/>
          </w:r>
          <w:r w:rsidRPr="00E72F5F">
            <w:rPr>
              <w:rFonts w:asciiTheme="minorHAnsi" w:hAnsiTheme="minorHAnsi" w:cstheme="minorHAnsi"/>
              <w:sz w:val="22"/>
              <w:szCs w:val="22"/>
            </w:rPr>
            <w:instrText xml:space="preserve"> PAGE </w:instrText>
          </w:r>
          <w:r w:rsidRPr="00E72F5F">
            <w:rPr>
              <w:rFonts w:asciiTheme="minorHAnsi" w:hAnsiTheme="minorHAnsi" w:cstheme="minorHAnsi"/>
              <w:sz w:val="22"/>
              <w:szCs w:val="22"/>
            </w:rPr>
            <w:fldChar w:fldCharType="separate"/>
          </w:r>
          <w:r w:rsidR="0050788E">
            <w:rPr>
              <w:rFonts w:asciiTheme="minorHAnsi" w:hAnsiTheme="minorHAnsi" w:cstheme="minorHAnsi"/>
              <w:noProof/>
              <w:sz w:val="22"/>
              <w:szCs w:val="22"/>
            </w:rPr>
            <w:t>3</w:t>
          </w:r>
          <w:r w:rsidRPr="00E72F5F">
            <w:rPr>
              <w:rFonts w:asciiTheme="minorHAnsi" w:hAnsiTheme="minorHAnsi" w:cstheme="minorHAnsi"/>
              <w:sz w:val="22"/>
              <w:szCs w:val="22"/>
            </w:rPr>
            <w:fldChar w:fldCharType="end"/>
          </w:r>
          <w:r w:rsidRPr="00E72F5F">
            <w:rPr>
              <w:rFonts w:asciiTheme="minorHAnsi" w:hAnsiTheme="minorHAnsi" w:cstheme="minorHAnsi"/>
              <w:sz w:val="22"/>
              <w:szCs w:val="22"/>
            </w:rPr>
            <w:t xml:space="preserve"> of </w:t>
          </w:r>
          <w:r w:rsidRPr="00E72F5F">
            <w:rPr>
              <w:rFonts w:asciiTheme="minorHAnsi" w:hAnsiTheme="minorHAnsi" w:cstheme="minorHAnsi"/>
              <w:sz w:val="22"/>
              <w:szCs w:val="22"/>
            </w:rPr>
            <w:fldChar w:fldCharType="begin"/>
          </w:r>
          <w:r w:rsidRPr="00E72F5F">
            <w:rPr>
              <w:rFonts w:asciiTheme="minorHAnsi" w:hAnsiTheme="minorHAnsi" w:cstheme="minorHAnsi"/>
              <w:sz w:val="22"/>
              <w:szCs w:val="22"/>
            </w:rPr>
            <w:instrText xml:space="preserve"> NUMPAGES </w:instrText>
          </w:r>
          <w:r w:rsidRPr="00E72F5F">
            <w:rPr>
              <w:rFonts w:asciiTheme="minorHAnsi" w:hAnsiTheme="minorHAnsi" w:cstheme="minorHAnsi"/>
              <w:sz w:val="22"/>
              <w:szCs w:val="22"/>
            </w:rPr>
            <w:fldChar w:fldCharType="separate"/>
          </w:r>
          <w:r w:rsidR="0050788E">
            <w:rPr>
              <w:rFonts w:asciiTheme="minorHAnsi" w:hAnsiTheme="minorHAnsi" w:cstheme="minorHAnsi"/>
              <w:noProof/>
              <w:sz w:val="22"/>
              <w:szCs w:val="22"/>
            </w:rPr>
            <w:t>3</w:t>
          </w:r>
          <w:r w:rsidRPr="00E72F5F">
            <w:rPr>
              <w:rFonts w:asciiTheme="minorHAnsi" w:hAnsiTheme="minorHAnsi" w:cstheme="minorHAnsi"/>
              <w:sz w:val="22"/>
              <w:szCs w:val="22"/>
            </w:rPr>
            <w:fldChar w:fldCharType="end"/>
          </w:r>
        </w:p>
      </w:tc>
    </w:tr>
  </w:tbl>
  <w:p w14:paraId="33061062" w14:textId="77777777" w:rsidR="008A16C2" w:rsidRDefault="008A16C2" w:rsidP="009B6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A26"/>
    <w:multiLevelType w:val="hybridMultilevel"/>
    <w:tmpl w:val="FE2216D6"/>
    <w:lvl w:ilvl="0" w:tplc="6B1C9E32">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971EE7"/>
    <w:multiLevelType w:val="hybridMultilevel"/>
    <w:tmpl w:val="97B2F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F269EC"/>
    <w:multiLevelType w:val="hybridMultilevel"/>
    <w:tmpl w:val="709A2102"/>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2EB6308E"/>
    <w:multiLevelType w:val="hybridMultilevel"/>
    <w:tmpl w:val="EB5A74F8"/>
    <w:lvl w:ilvl="0" w:tplc="349CC1CC">
      <w:start w:val="1"/>
      <w:numFmt w:val="decimal"/>
      <w:lvlText w:val="6.%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8650F9"/>
    <w:multiLevelType w:val="hybridMultilevel"/>
    <w:tmpl w:val="64C67C36"/>
    <w:lvl w:ilvl="0" w:tplc="337C6876">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D10B3"/>
    <w:multiLevelType w:val="multilevel"/>
    <w:tmpl w:val="C29C6EB4"/>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1D60B9D"/>
    <w:multiLevelType w:val="hybridMultilevel"/>
    <w:tmpl w:val="76FAF8F2"/>
    <w:lvl w:ilvl="0" w:tplc="3B545FE0">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0D5B0E"/>
    <w:multiLevelType w:val="multilevel"/>
    <w:tmpl w:val="55BEAD08"/>
    <w:lvl w:ilvl="0">
      <w:start w:val="4"/>
      <w:numFmt w:val="decimal"/>
      <w:lvlText w:val="%1"/>
      <w:lvlJc w:val="left"/>
      <w:pPr>
        <w:ind w:left="360" w:hanging="360"/>
      </w:pPr>
      <w:rPr>
        <w:rFonts w:hint="default"/>
      </w:rPr>
    </w:lvl>
    <w:lvl w:ilvl="1">
      <w:start w:val="1"/>
      <w:numFmt w:val="decimal"/>
      <w:lvlText w:val="5.%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010B1D"/>
    <w:multiLevelType w:val="hybridMultilevel"/>
    <w:tmpl w:val="37D42AFA"/>
    <w:lvl w:ilvl="0" w:tplc="0C84799A">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262986"/>
    <w:multiLevelType w:val="hybridMultilevel"/>
    <w:tmpl w:val="67163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955B66"/>
    <w:multiLevelType w:val="hybridMultilevel"/>
    <w:tmpl w:val="4A9A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F83265"/>
    <w:multiLevelType w:val="hybridMultilevel"/>
    <w:tmpl w:val="B100C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455937"/>
    <w:multiLevelType w:val="multilevel"/>
    <w:tmpl w:val="013A4C9E"/>
    <w:lvl w:ilvl="0">
      <w:start w:val="3"/>
      <w:numFmt w:val="decimal"/>
      <w:lvlText w:val="%1"/>
      <w:lvlJc w:val="left"/>
      <w:pPr>
        <w:ind w:left="360" w:hanging="360"/>
      </w:pPr>
      <w:rPr>
        <w:rFonts w:hint="default"/>
      </w:rPr>
    </w:lvl>
    <w:lvl w:ilvl="1">
      <w:start w:val="1"/>
      <w:numFmt w:val="decimal"/>
      <w:lvlText w:val="4.%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09458F"/>
    <w:multiLevelType w:val="multilevel"/>
    <w:tmpl w:val="EA22D96A"/>
    <w:lvl w:ilvl="0">
      <w:start w:val="1"/>
      <w:numFmt w:val="decimal"/>
      <w:lvlText w:val="%1."/>
      <w:lvlJc w:val="left"/>
      <w:pPr>
        <w:ind w:left="720" w:hanging="360"/>
      </w:pPr>
      <w:rPr>
        <w:rFonts w:ascii="Arial Narrow" w:hAnsi="Arial Narrow" w:hint="default"/>
        <w:b w:val="0"/>
        <w:i w:val="0"/>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38364D0"/>
    <w:multiLevelType w:val="multilevel"/>
    <w:tmpl w:val="12C43B36"/>
    <w:lvl w:ilvl="0">
      <w:start w:val="2"/>
      <w:numFmt w:val="decimal"/>
      <w:lvlText w:val="%1"/>
      <w:lvlJc w:val="left"/>
      <w:pPr>
        <w:ind w:left="360" w:hanging="360"/>
      </w:pPr>
      <w:rPr>
        <w:rFonts w:hint="default"/>
      </w:rPr>
    </w:lvl>
    <w:lvl w:ilvl="1">
      <w:start w:val="1"/>
      <w:numFmt w:val="decimal"/>
      <w:lvlText w:val="3.%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974B37"/>
    <w:multiLevelType w:val="hybridMultilevel"/>
    <w:tmpl w:val="E952AD98"/>
    <w:lvl w:ilvl="0" w:tplc="0C09000B">
      <w:start w:val="1"/>
      <w:numFmt w:val="bullet"/>
      <w:lvlText w:val=""/>
      <w:lvlJc w:val="left"/>
      <w:pPr>
        <w:ind w:left="29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6" w15:restartNumberingAfterBreak="0">
    <w:nsid w:val="69AE73F9"/>
    <w:multiLevelType w:val="multilevel"/>
    <w:tmpl w:val="2EBE890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F736271"/>
    <w:multiLevelType w:val="hybridMultilevel"/>
    <w:tmpl w:val="945E4D98"/>
    <w:lvl w:ilvl="0" w:tplc="616A8544">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A13914"/>
    <w:multiLevelType w:val="hybridMultilevel"/>
    <w:tmpl w:val="E12AA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173A2D"/>
    <w:multiLevelType w:val="multilevel"/>
    <w:tmpl w:val="151AE89C"/>
    <w:lvl w:ilvl="0">
      <w:start w:val="1"/>
      <w:numFmt w:val="decimal"/>
      <w:lvlText w:val="%1"/>
      <w:lvlJc w:val="left"/>
      <w:pPr>
        <w:ind w:left="360" w:hanging="360"/>
      </w:pPr>
      <w:rPr>
        <w:rFonts w:hint="default"/>
        <w:b w:val="0"/>
      </w:rPr>
    </w:lvl>
    <w:lvl w:ilvl="1">
      <w:start w:val="1"/>
      <w:numFmt w:val="decimal"/>
      <w:lvlText w:val="2.%2"/>
      <w:lvlJc w:val="left"/>
      <w:pPr>
        <w:ind w:left="502"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BA2503"/>
    <w:multiLevelType w:val="hybridMultilevel"/>
    <w:tmpl w:val="BCE89324"/>
    <w:lvl w:ilvl="0" w:tplc="0C090001">
      <w:start w:val="1"/>
      <w:numFmt w:val="bullet"/>
      <w:lvlText w:val=""/>
      <w:lvlJc w:val="left"/>
      <w:pPr>
        <w:ind w:left="720" w:hanging="360"/>
      </w:pPr>
      <w:rPr>
        <w:rFonts w:ascii="Symbol" w:hAnsi="Symbol" w:hint="default"/>
      </w:rPr>
    </w:lvl>
    <w:lvl w:ilvl="1" w:tplc="5D10A178">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5"/>
  </w:num>
  <w:num w:numId="4">
    <w:abstractNumId w:val="16"/>
  </w:num>
  <w:num w:numId="5">
    <w:abstractNumId w:val="14"/>
  </w:num>
  <w:num w:numId="6">
    <w:abstractNumId w:val="12"/>
  </w:num>
  <w:num w:numId="7">
    <w:abstractNumId w:val="19"/>
  </w:num>
  <w:num w:numId="8">
    <w:abstractNumId w:val="7"/>
  </w:num>
  <w:num w:numId="9">
    <w:abstractNumId w:val="1"/>
  </w:num>
  <w:num w:numId="10">
    <w:abstractNumId w:val="9"/>
  </w:num>
  <w:num w:numId="11">
    <w:abstractNumId w:val="2"/>
  </w:num>
  <w:num w:numId="12">
    <w:abstractNumId w:val="4"/>
  </w:num>
  <w:num w:numId="13">
    <w:abstractNumId w:val="15"/>
  </w:num>
  <w:num w:numId="14">
    <w:abstractNumId w:val="11"/>
  </w:num>
  <w:num w:numId="15">
    <w:abstractNumId w:val="13"/>
  </w:num>
  <w:num w:numId="16">
    <w:abstractNumId w:val="8"/>
  </w:num>
  <w:num w:numId="17">
    <w:abstractNumId w:val="6"/>
  </w:num>
  <w:num w:numId="18">
    <w:abstractNumId w:val="0"/>
  </w:num>
  <w:num w:numId="19">
    <w:abstractNumId w:val="17"/>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A9"/>
    <w:rsid w:val="000065EB"/>
    <w:rsid w:val="00011BED"/>
    <w:rsid w:val="00015630"/>
    <w:rsid w:val="00055426"/>
    <w:rsid w:val="00096C0D"/>
    <w:rsid w:val="000B1533"/>
    <w:rsid w:val="001125A2"/>
    <w:rsid w:val="002A36AA"/>
    <w:rsid w:val="00395FB7"/>
    <w:rsid w:val="003C1ED6"/>
    <w:rsid w:val="0041511F"/>
    <w:rsid w:val="004151B3"/>
    <w:rsid w:val="00435EA7"/>
    <w:rsid w:val="00473280"/>
    <w:rsid w:val="004C2CDD"/>
    <w:rsid w:val="004D46C8"/>
    <w:rsid w:val="0050788E"/>
    <w:rsid w:val="0056428A"/>
    <w:rsid w:val="005B51B0"/>
    <w:rsid w:val="005F79A4"/>
    <w:rsid w:val="006E280C"/>
    <w:rsid w:val="00760494"/>
    <w:rsid w:val="0078564C"/>
    <w:rsid w:val="007B7B8A"/>
    <w:rsid w:val="00804B46"/>
    <w:rsid w:val="00812B84"/>
    <w:rsid w:val="00886ECC"/>
    <w:rsid w:val="008A16C2"/>
    <w:rsid w:val="008A5852"/>
    <w:rsid w:val="00916FEA"/>
    <w:rsid w:val="009B67A9"/>
    <w:rsid w:val="00A96F8F"/>
    <w:rsid w:val="00B35349"/>
    <w:rsid w:val="00B5383D"/>
    <w:rsid w:val="00BA182E"/>
    <w:rsid w:val="00BD56DD"/>
    <w:rsid w:val="00C42A7F"/>
    <w:rsid w:val="00C56ED6"/>
    <w:rsid w:val="00CB0C39"/>
    <w:rsid w:val="00CE351F"/>
    <w:rsid w:val="00D3285B"/>
    <w:rsid w:val="00D43559"/>
    <w:rsid w:val="00DB691F"/>
    <w:rsid w:val="00DF0FBD"/>
    <w:rsid w:val="00E72F5F"/>
    <w:rsid w:val="00EC4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B5172"/>
  <w15:docId w15:val="{97AD9DDC-04F7-4F2E-8EF7-E503C9BF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7A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7A9"/>
    <w:pPr>
      <w:tabs>
        <w:tab w:val="center" w:pos="4513"/>
        <w:tab w:val="right" w:pos="9026"/>
      </w:tabs>
    </w:pPr>
  </w:style>
  <w:style w:type="character" w:customStyle="1" w:styleId="HeaderChar">
    <w:name w:val="Header Char"/>
    <w:basedOn w:val="DefaultParagraphFont"/>
    <w:link w:val="Header"/>
    <w:uiPriority w:val="99"/>
    <w:rsid w:val="009B67A9"/>
  </w:style>
  <w:style w:type="paragraph" w:styleId="Footer">
    <w:name w:val="footer"/>
    <w:basedOn w:val="Normal"/>
    <w:link w:val="FooterChar"/>
    <w:uiPriority w:val="99"/>
    <w:unhideWhenUsed/>
    <w:rsid w:val="009B67A9"/>
    <w:pPr>
      <w:tabs>
        <w:tab w:val="center" w:pos="4513"/>
        <w:tab w:val="right" w:pos="9026"/>
      </w:tabs>
    </w:pPr>
  </w:style>
  <w:style w:type="character" w:customStyle="1" w:styleId="FooterChar">
    <w:name w:val="Footer Char"/>
    <w:basedOn w:val="DefaultParagraphFont"/>
    <w:link w:val="Footer"/>
    <w:uiPriority w:val="99"/>
    <w:rsid w:val="009B67A9"/>
  </w:style>
  <w:style w:type="paragraph" w:styleId="BodyText">
    <w:name w:val="Body Text"/>
    <w:basedOn w:val="Normal"/>
    <w:link w:val="BodyTextChar"/>
    <w:rsid w:val="009B67A9"/>
    <w:pPr>
      <w:spacing w:after="240"/>
      <w:jc w:val="both"/>
    </w:pPr>
    <w:rPr>
      <w:spacing w:val="-5"/>
      <w:szCs w:val="20"/>
      <w:lang w:val="en-AU"/>
    </w:rPr>
  </w:style>
  <w:style w:type="character" w:customStyle="1" w:styleId="BodyTextChar">
    <w:name w:val="Body Text Char"/>
    <w:basedOn w:val="DefaultParagraphFont"/>
    <w:link w:val="BodyText"/>
    <w:rsid w:val="009B67A9"/>
    <w:rPr>
      <w:rFonts w:ascii="Times New Roman" w:eastAsia="Times New Roman" w:hAnsi="Times New Roman" w:cs="Times New Roman"/>
      <w:spacing w:val="-5"/>
      <w:szCs w:val="20"/>
    </w:rPr>
  </w:style>
  <w:style w:type="paragraph" w:styleId="BalloonText">
    <w:name w:val="Balloon Text"/>
    <w:basedOn w:val="Normal"/>
    <w:link w:val="BalloonTextChar"/>
    <w:uiPriority w:val="99"/>
    <w:semiHidden/>
    <w:unhideWhenUsed/>
    <w:rsid w:val="005F79A4"/>
    <w:rPr>
      <w:rFonts w:ascii="Tahoma" w:hAnsi="Tahoma" w:cs="Tahoma"/>
      <w:sz w:val="16"/>
      <w:szCs w:val="16"/>
    </w:rPr>
  </w:style>
  <w:style w:type="character" w:customStyle="1" w:styleId="BalloonTextChar">
    <w:name w:val="Balloon Text Char"/>
    <w:basedOn w:val="DefaultParagraphFont"/>
    <w:link w:val="BalloonText"/>
    <w:uiPriority w:val="99"/>
    <w:semiHidden/>
    <w:rsid w:val="005F79A4"/>
    <w:rPr>
      <w:rFonts w:ascii="Tahoma" w:eastAsia="Times New Roman" w:hAnsi="Tahoma" w:cs="Tahoma"/>
      <w:sz w:val="16"/>
      <w:szCs w:val="16"/>
      <w:lang w:val="en-US"/>
    </w:rPr>
  </w:style>
  <w:style w:type="paragraph" w:styleId="ListParagraph">
    <w:name w:val="List Paragraph"/>
    <w:basedOn w:val="Normal"/>
    <w:uiPriority w:val="34"/>
    <w:qFormat/>
    <w:rsid w:val="00C42A7F"/>
    <w:pPr>
      <w:ind w:left="720"/>
      <w:contextualSpacing/>
    </w:pPr>
  </w:style>
  <w:style w:type="paragraph" w:customStyle="1" w:styleId="Default">
    <w:name w:val="Default"/>
    <w:rsid w:val="000B1533"/>
    <w:pPr>
      <w:autoSpaceDE w:val="0"/>
      <w:autoSpaceDN w:val="0"/>
      <w:adjustRightInd w:val="0"/>
    </w:pPr>
    <w:rPr>
      <w:rFonts w:ascii="Arial Narrow" w:hAnsi="Arial Narrow" w:cs="Arial Narrow"/>
      <w:color w:val="000000"/>
    </w:rPr>
  </w:style>
  <w:style w:type="character" w:styleId="CommentReference">
    <w:name w:val="annotation reference"/>
    <w:basedOn w:val="DefaultParagraphFont"/>
    <w:uiPriority w:val="99"/>
    <w:semiHidden/>
    <w:unhideWhenUsed/>
    <w:rsid w:val="002A36AA"/>
    <w:rPr>
      <w:sz w:val="16"/>
      <w:szCs w:val="16"/>
    </w:rPr>
  </w:style>
  <w:style w:type="paragraph" w:styleId="CommentText">
    <w:name w:val="annotation text"/>
    <w:basedOn w:val="Normal"/>
    <w:link w:val="CommentTextChar"/>
    <w:uiPriority w:val="99"/>
    <w:semiHidden/>
    <w:unhideWhenUsed/>
    <w:rsid w:val="00B5383D"/>
    <w:rPr>
      <w:sz w:val="20"/>
      <w:szCs w:val="20"/>
    </w:rPr>
  </w:style>
  <w:style w:type="character" w:customStyle="1" w:styleId="CommentTextChar">
    <w:name w:val="Comment Text Char"/>
    <w:basedOn w:val="DefaultParagraphFont"/>
    <w:link w:val="CommentText"/>
    <w:uiPriority w:val="99"/>
    <w:semiHidden/>
    <w:rsid w:val="00B5383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383D"/>
    <w:rPr>
      <w:b/>
      <w:bCs/>
    </w:rPr>
  </w:style>
  <w:style w:type="character" w:customStyle="1" w:styleId="CommentSubjectChar">
    <w:name w:val="Comment Subject Char"/>
    <w:basedOn w:val="CommentTextChar"/>
    <w:link w:val="CommentSubject"/>
    <w:uiPriority w:val="99"/>
    <w:semiHidden/>
    <w:rsid w:val="00B5383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Eastern Palliative Care</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swanj</dc:creator>
  <cp:lastModifiedBy>Nila Wajntraub</cp:lastModifiedBy>
  <cp:revision>2</cp:revision>
  <cp:lastPrinted>2018-05-25T03:39:00Z</cp:lastPrinted>
  <dcterms:created xsi:type="dcterms:W3CDTF">2019-07-19T00:50:00Z</dcterms:created>
  <dcterms:modified xsi:type="dcterms:W3CDTF">2019-07-19T00:50:00Z</dcterms:modified>
</cp:coreProperties>
</file>